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E5F" w:rsidRPr="008431F5" w:rsidRDefault="008431F5" w:rsidP="008431F5">
      <w:pPr>
        <w:pStyle w:val="Default"/>
        <w:jc w:val="center"/>
        <w:rPr>
          <w:rFonts w:ascii="Arial" w:hAnsi="Arial" w:cs="Arial"/>
        </w:rPr>
      </w:pPr>
      <w:r w:rsidRPr="008431F5">
        <w:rPr>
          <w:rFonts w:ascii="Arial" w:hAnsi="Arial" w:cs="Arial"/>
          <w:b/>
          <w:bCs/>
        </w:rPr>
        <w:t>Programa para Regularizar Asentamientos Humanos Irregulares</w:t>
      </w:r>
    </w:p>
    <w:tbl>
      <w:tblPr>
        <w:tblStyle w:val="Tablaconcuadrcula"/>
        <w:tblpPr w:leftFromText="141" w:rightFromText="141" w:vertAnchor="page" w:horzAnchor="margin" w:tblpY="229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552"/>
        <w:gridCol w:w="2681"/>
        <w:gridCol w:w="1083"/>
        <w:gridCol w:w="2291"/>
      </w:tblGrid>
      <w:tr w:rsidR="008431F5" w:rsidRPr="00A077D4" w:rsidTr="008431F5">
        <w:tc>
          <w:tcPr>
            <w:tcW w:w="9322" w:type="dxa"/>
            <w:gridSpan w:val="5"/>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8431F5" w:rsidRPr="00A077D4" w:rsidRDefault="008431F5" w:rsidP="008431F5">
            <w:pPr>
              <w:pStyle w:val="Texto"/>
              <w:spacing w:after="80" w:line="211" w:lineRule="exact"/>
              <w:ind w:firstLine="0"/>
              <w:rPr>
                <w:sz w:val="20"/>
                <w:lang w:val="es-MX"/>
              </w:rPr>
            </w:pPr>
            <w:r w:rsidRPr="00A077D4">
              <w:rPr>
                <w:b/>
                <w:sz w:val="20"/>
              </w:rPr>
              <w:t>OBJETIVO:</w:t>
            </w:r>
            <w:r w:rsidRPr="00A077D4">
              <w:rPr>
                <w:sz w:val="20"/>
              </w:rPr>
              <w:t xml:space="preserve"> </w:t>
            </w:r>
            <w:r w:rsidR="00912BDD" w:rsidRPr="00A077D4">
              <w:rPr>
                <w:sz w:val="20"/>
              </w:rPr>
              <w:t>Contribuir a promover el desarrollo urbano, el ordenamiento y la planeación territorial como articuladores del bienestar de las personas y el uso eficiente del suelo, mediante el otorgamiento de apoyos para los hogares poseedores de lotes ubicados en asentamientos humanos irregulares de los polígonos de actuación, con el objeto de regularizar la propiedad de dichos lotes y tener acceso a los servicios básicos.</w:t>
            </w:r>
          </w:p>
        </w:tc>
      </w:tr>
      <w:tr w:rsidR="008431F5" w:rsidRPr="00A077D4" w:rsidTr="00004FB6">
        <w:tc>
          <w:tcPr>
            <w:tcW w:w="1668" w:type="dxa"/>
            <w:tcBorders>
              <w:top w:val="single" w:sz="12" w:space="0" w:color="BF8F00" w:themeColor="accent4" w:themeShade="BF"/>
              <w:bottom w:val="single" w:sz="12" w:space="0" w:color="FFE599" w:themeColor="accent4" w:themeTint="66"/>
            </w:tcBorders>
            <w:vAlign w:val="center"/>
          </w:tcPr>
          <w:p w:rsidR="008431F5" w:rsidRPr="00A077D4" w:rsidRDefault="008431F5" w:rsidP="008431F5">
            <w:pPr>
              <w:jc w:val="center"/>
              <w:rPr>
                <w:rFonts w:ascii="Arial" w:hAnsi="Arial" w:cs="Arial"/>
                <w:b/>
                <w:sz w:val="20"/>
                <w:szCs w:val="20"/>
                <w:lang w:val="es-ES"/>
              </w:rPr>
            </w:pPr>
          </w:p>
          <w:p w:rsidR="008431F5" w:rsidRPr="00A077D4" w:rsidRDefault="008431F5" w:rsidP="008431F5">
            <w:pPr>
              <w:jc w:val="center"/>
              <w:rPr>
                <w:rFonts w:ascii="Arial" w:hAnsi="Arial" w:cs="Arial"/>
                <w:b/>
                <w:sz w:val="20"/>
                <w:szCs w:val="20"/>
                <w:lang w:val="es-ES"/>
              </w:rPr>
            </w:pPr>
            <w:r w:rsidRPr="00A077D4">
              <w:rPr>
                <w:rFonts w:ascii="Arial" w:hAnsi="Arial" w:cs="Arial"/>
                <w:b/>
                <w:sz w:val="20"/>
                <w:szCs w:val="20"/>
                <w:lang w:val="es-ES"/>
              </w:rPr>
              <w:t>COBERTURA</w:t>
            </w:r>
          </w:p>
        </w:tc>
        <w:tc>
          <w:tcPr>
            <w:tcW w:w="1559" w:type="dxa"/>
            <w:tcBorders>
              <w:top w:val="single" w:sz="12" w:space="0" w:color="BF8F00" w:themeColor="accent4" w:themeShade="BF"/>
              <w:bottom w:val="single" w:sz="12" w:space="0" w:color="FFE599" w:themeColor="accent4" w:themeTint="66"/>
            </w:tcBorders>
            <w:vAlign w:val="center"/>
          </w:tcPr>
          <w:p w:rsidR="008431F5" w:rsidRPr="00A077D4" w:rsidRDefault="008431F5" w:rsidP="008431F5">
            <w:pPr>
              <w:jc w:val="center"/>
              <w:rPr>
                <w:rFonts w:ascii="Arial" w:hAnsi="Arial" w:cs="Arial"/>
                <w:b/>
                <w:sz w:val="20"/>
                <w:szCs w:val="20"/>
                <w:lang w:val="es-ES"/>
              </w:rPr>
            </w:pPr>
          </w:p>
          <w:p w:rsidR="008431F5" w:rsidRPr="00A077D4" w:rsidRDefault="008431F5" w:rsidP="008431F5">
            <w:pPr>
              <w:jc w:val="center"/>
              <w:rPr>
                <w:rFonts w:ascii="Arial" w:hAnsi="Arial" w:cs="Arial"/>
                <w:b/>
                <w:sz w:val="20"/>
                <w:szCs w:val="20"/>
                <w:lang w:val="es-ES"/>
              </w:rPr>
            </w:pPr>
            <w:r w:rsidRPr="00A077D4">
              <w:rPr>
                <w:rFonts w:ascii="Arial" w:hAnsi="Arial" w:cs="Arial"/>
                <w:b/>
                <w:sz w:val="20"/>
                <w:szCs w:val="20"/>
                <w:lang w:val="es-ES"/>
              </w:rPr>
              <w:t>SECTOR</w:t>
            </w:r>
          </w:p>
        </w:tc>
        <w:tc>
          <w:tcPr>
            <w:tcW w:w="3790" w:type="dxa"/>
            <w:gridSpan w:val="2"/>
            <w:tcBorders>
              <w:top w:val="single" w:sz="12" w:space="0" w:color="BF8F00" w:themeColor="accent4" w:themeShade="BF"/>
              <w:bottom w:val="single" w:sz="12" w:space="0" w:color="FFE599" w:themeColor="accent4" w:themeTint="66"/>
            </w:tcBorders>
            <w:vAlign w:val="center"/>
          </w:tcPr>
          <w:p w:rsidR="008431F5" w:rsidRPr="00A077D4" w:rsidRDefault="008431F5" w:rsidP="008431F5">
            <w:pPr>
              <w:jc w:val="center"/>
              <w:rPr>
                <w:rFonts w:ascii="Arial" w:hAnsi="Arial" w:cs="Arial"/>
                <w:b/>
                <w:sz w:val="20"/>
                <w:szCs w:val="20"/>
                <w:lang w:val="es-ES"/>
              </w:rPr>
            </w:pPr>
          </w:p>
          <w:p w:rsidR="008431F5" w:rsidRPr="00A077D4" w:rsidRDefault="008431F5" w:rsidP="00B76EB3">
            <w:pPr>
              <w:jc w:val="center"/>
              <w:rPr>
                <w:rFonts w:ascii="Arial" w:hAnsi="Arial" w:cs="Arial"/>
                <w:b/>
                <w:sz w:val="20"/>
                <w:szCs w:val="20"/>
                <w:lang w:val="es-ES"/>
              </w:rPr>
            </w:pPr>
            <w:r w:rsidRPr="00A077D4">
              <w:rPr>
                <w:rFonts w:ascii="Arial" w:hAnsi="Arial" w:cs="Arial"/>
                <w:b/>
                <w:sz w:val="20"/>
                <w:szCs w:val="20"/>
                <w:lang w:val="es-ES"/>
              </w:rPr>
              <w:t>BENEFICIARIOS</w:t>
            </w:r>
            <w:r w:rsidR="00B76EB3" w:rsidRPr="00A077D4">
              <w:rPr>
                <w:rFonts w:ascii="Arial" w:hAnsi="Arial" w:cs="Arial"/>
                <w:b/>
                <w:sz w:val="20"/>
                <w:szCs w:val="20"/>
                <w:lang w:val="es-ES"/>
              </w:rPr>
              <w:t xml:space="preserve">            </w:t>
            </w:r>
          </w:p>
        </w:tc>
        <w:tc>
          <w:tcPr>
            <w:tcW w:w="2305" w:type="dxa"/>
            <w:tcBorders>
              <w:top w:val="single" w:sz="12" w:space="0" w:color="BF8F00" w:themeColor="accent4" w:themeShade="BF"/>
              <w:bottom w:val="single" w:sz="12" w:space="0" w:color="FFE599" w:themeColor="accent4" w:themeTint="66"/>
            </w:tcBorders>
            <w:vAlign w:val="center"/>
          </w:tcPr>
          <w:p w:rsidR="008431F5" w:rsidRPr="00A077D4" w:rsidRDefault="008431F5" w:rsidP="008431F5">
            <w:pPr>
              <w:jc w:val="center"/>
              <w:rPr>
                <w:rFonts w:ascii="Arial" w:hAnsi="Arial" w:cs="Arial"/>
                <w:b/>
                <w:sz w:val="20"/>
                <w:szCs w:val="20"/>
                <w:lang w:val="es-ES"/>
              </w:rPr>
            </w:pPr>
          </w:p>
          <w:p w:rsidR="008431F5" w:rsidRPr="00A077D4" w:rsidRDefault="00B76EB3" w:rsidP="008431F5">
            <w:pPr>
              <w:jc w:val="center"/>
              <w:rPr>
                <w:rFonts w:ascii="Arial" w:hAnsi="Arial" w:cs="Arial"/>
                <w:b/>
                <w:sz w:val="20"/>
                <w:szCs w:val="20"/>
                <w:lang w:val="es-ES"/>
              </w:rPr>
            </w:pPr>
            <w:r w:rsidRPr="00A077D4">
              <w:rPr>
                <w:rFonts w:ascii="Arial" w:hAnsi="Arial" w:cs="Arial"/>
                <w:b/>
                <w:sz w:val="20"/>
                <w:szCs w:val="20"/>
                <w:lang w:val="es-ES"/>
              </w:rPr>
              <w:t xml:space="preserve">TIPOS Y </w:t>
            </w:r>
            <w:r w:rsidR="008431F5" w:rsidRPr="00A077D4">
              <w:rPr>
                <w:rFonts w:ascii="Arial" w:hAnsi="Arial" w:cs="Arial"/>
                <w:b/>
                <w:sz w:val="20"/>
                <w:szCs w:val="20"/>
                <w:lang w:val="es-ES"/>
              </w:rPr>
              <w:t>MONTOS DE APOYO</w:t>
            </w:r>
          </w:p>
        </w:tc>
      </w:tr>
      <w:tr w:rsidR="008431F5" w:rsidRPr="00A077D4" w:rsidTr="00004FB6">
        <w:tc>
          <w:tcPr>
            <w:tcW w:w="166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8431F5" w:rsidRPr="00A077D4" w:rsidRDefault="008431F5" w:rsidP="008431F5">
            <w:pPr>
              <w:jc w:val="center"/>
              <w:rPr>
                <w:rFonts w:ascii="Arial" w:hAnsi="Arial" w:cs="Arial"/>
                <w:sz w:val="20"/>
                <w:szCs w:val="20"/>
              </w:rPr>
            </w:pPr>
          </w:p>
          <w:p w:rsidR="008431F5" w:rsidRPr="00A077D4" w:rsidRDefault="008431F5" w:rsidP="008431F5">
            <w:pPr>
              <w:ind w:left="720"/>
              <w:jc w:val="both"/>
              <w:rPr>
                <w:rFonts w:ascii="Arial" w:hAnsi="Arial" w:cs="Arial"/>
                <w:b/>
                <w:sz w:val="20"/>
                <w:szCs w:val="20"/>
              </w:rPr>
            </w:pPr>
            <w:r w:rsidRPr="00A077D4">
              <w:rPr>
                <w:rFonts w:ascii="Arial" w:hAnsi="Arial" w:cs="Arial"/>
                <w:color w:val="2F2F2F"/>
                <w:sz w:val="20"/>
                <w:szCs w:val="20"/>
                <w:lang w:val="es-ES" w:eastAsia="es-ES"/>
              </w:rPr>
              <w:t>Nacional</w:t>
            </w:r>
          </w:p>
          <w:p w:rsidR="008431F5" w:rsidRPr="00A077D4" w:rsidRDefault="008431F5" w:rsidP="008431F5">
            <w:pPr>
              <w:jc w:val="center"/>
              <w:rPr>
                <w:rFonts w:ascii="Arial" w:hAnsi="Arial" w:cs="Arial"/>
                <w:sz w:val="20"/>
                <w:szCs w:val="20"/>
              </w:rPr>
            </w:pPr>
          </w:p>
        </w:tc>
        <w:tc>
          <w:tcPr>
            <w:tcW w:w="155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8431F5" w:rsidRPr="00A077D4" w:rsidRDefault="008431F5" w:rsidP="008431F5">
            <w:pPr>
              <w:pStyle w:val="Texto"/>
              <w:spacing w:after="60"/>
              <w:ind w:firstLine="0"/>
              <w:jc w:val="center"/>
              <w:rPr>
                <w:sz w:val="20"/>
              </w:rPr>
            </w:pPr>
            <w:r w:rsidRPr="00A077D4">
              <w:rPr>
                <w:sz w:val="20"/>
              </w:rPr>
              <w:t>Desarrollo Humano</w:t>
            </w:r>
          </w:p>
        </w:tc>
        <w:tc>
          <w:tcPr>
            <w:tcW w:w="2693"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8431F5" w:rsidRPr="00A077D4" w:rsidRDefault="00912BDD" w:rsidP="008431F5">
            <w:pPr>
              <w:pStyle w:val="Texto"/>
              <w:spacing w:after="94" w:line="220" w:lineRule="exact"/>
              <w:ind w:firstLine="0"/>
              <w:rPr>
                <w:sz w:val="20"/>
                <w:lang w:val="es-MX"/>
              </w:rPr>
            </w:pPr>
            <w:r w:rsidRPr="00A077D4">
              <w:rPr>
                <w:sz w:val="20"/>
              </w:rPr>
              <w:t>Son los hogares cuyos titulares de derechos y obligaciones que cumplieron con los criterios y requisitos de elegibilidad del Programa y consecuentemente han regularizado sus lotes a través de la Instancia Ejecutora, la cual ha aplicado en su favor el recurso federal del PASPRAH</w:t>
            </w:r>
            <w:r w:rsidR="006500B9" w:rsidRPr="00A077D4">
              <w:rPr>
                <w:sz w:val="20"/>
              </w:rPr>
              <w:t xml:space="preserve"> (Programa para Regularizar Asentamientos Humanos Irregulares)</w:t>
            </w:r>
            <w:r w:rsidRPr="00A077D4">
              <w:rPr>
                <w:sz w:val="20"/>
              </w:rPr>
              <w:t>.</w:t>
            </w:r>
          </w:p>
        </w:tc>
        <w:tc>
          <w:tcPr>
            <w:tcW w:w="3402"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tcPr>
          <w:p w:rsidR="00B76EB3" w:rsidRPr="00DB5F1C" w:rsidRDefault="00B76EB3" w:rsidP="00B76EB3">
            <w:pPr>
              <w:autoSpaceDE w:val="0"/>
              <w:autoSpaceDN w:val="0"/>
              <w:adjustRightInd w:val="0"/>
              <w:jc w:val="both"/>
              <w:rPr>
                <w:rFonts w:ascii="Arial" w:hAnsi="Arial" w:cs="Arial"/>
                <w:color w:val="000000"/>
                <w:sz w:val="20"/>
                <w:szCs w:val="20"/>
                <w:lang w:val="es-ES"/>
              </w:rPr>
            </w:pPr>
            <w:r w:rsidRPr="00DB5F1C">
              <w:rPr>
                <w:rFonts w:ascii="Arial" w:hAnsi="Arial" w:cs="Arial"/>
                <w:color w:val="000000"/>
                <w:sz w:val="20"/>
                <w:szCs w:val="20"/>
                <w:lang w:val="es-ES"/>
              </w:rPr>
              <w:t xml:space="preserve">Los tipos y montos de apoyo por hogar beneficiario son los siguientes: </w:t>
            </w:r>
          </w:p>
          <w:p w:rsidR="00B76EB3" w:rsidRPr="00DB5F1C" w:rsidRDefault="00B76EB3" w:rsidP="00B76EB3">
            <w:pPr>
              <w:autoSpaceDE w:val="0"/>
              <w:autoSpaceDN w:val="0"/>
              <w:adjustRightInd w:val="0"/>
              <w:jc w:val="both"/>
              <w:rPr>
                <w:rFonts w:ascii="Arial" w:hAnsi="Arial" w:cs="Arial"/>
                <w:color w:val="000000"/>
                <w:sz w:val="20"/>
                <w:szCs w:val="20"/>
                <w:lang w:val="es-ES"/>
              </w:rPr>
            </w:pPr>
            <w:r w:rsidRPr="00DB5F1C">
              <w:rPr>
                <w:rFonts w:ascii="Arial" w:hAnsi="Arial" w:cs="Arial"/>
                <w:color w:val="000000"/>
                <w:sz w:val="20"/>
                <w:szCs w:val="20"/>
                <w:lang w:val="es-ES"/>
              </w:rPr>
              <w:t xml:space="preserve">I. Cuando el costo total de la regularización sea menor o igual a $10,000.00 (Diez Mil Pesos 00/100 M.N.), el Recurso del Programa será del 100%. </w:t>
            </w:r>
          </w:p>
          <w:p w:rsidR="00B76EB3" w:rsidRPr="00DB5F1C" w:rsidRDefault="00B76EB3" w:rsidP="00B76EB3">
            <w:pPr>
              <w:autoSpaceDE w:val="0"/>
              <w:autoSpaceDN w:val="0"/>
              <w:adjustRightInd w:val="0"/>
              <w:jc w:val="both"/>
              <w:rPr>
                <w:rFonts w:ascii="Arial" w:hAnsi="Arial" w:cs="Arial"/>
                <w:color w:val="000000"/>
                <w:sz w:val="20"/>
                <w:szCs w:val="20"/>
                <w:lang w:val="es-ES"/>
              </w:rPr>
            </w:pPr>
            <w:r w:rsidRPr="00DB5F1C">
              <w:rPr>
                <w:rFonts w:ascii="Arial" w:hAnsi="Arial" w:cs="Arial"/>
                <w:color w:val="000000"/>
                <w:sz w:val="20"/>
                <w:szCs w:val="20"/>
                <w:lang w:val="es-ES"/>
              </w:rPr>
              <w:t xml:space="preserve">II. Cuando el costo total de la Regularización sea mayor a $10,000.00 (Diez Mil Pesos 00/100 M.N.) el monto excedente deberá ser cubierto por la Instancia Ejecutora. </w:t>
            </w:r>
          </w:p>
          <w:p w:rsidR="00B76EB3" w:rsidRPr="00A077D4" w:rsidRDefault="00B76EB3" w:rsidP="00B76EB3">
            <w:pPr>
              <w:jc w:val="both"/>
              <w:rPr>
                <w:rFonts w:ascii="Arial" w:hAnsi="Arial" w:cs="Arial"/>
                <w:color w:val="000000"/>
                <w:sz w:val="20"/>
                <w:szCs w:val="20"/>
                <w:lang w:val="es-ES"/>
              </w:rPr>
            </w:pPr>
            <w:r w:rsidRPr="00A077D4">
              <w:rPr>
                <w:rFonts w:ascii="Arial" w:hAnsi="Arial" w:cs="Arial"/>
                <w:color w:val="000000"/>
                <w:sz w:val="20"/>
                <w:szCs w:val="20"/>
                <w:lang w:val="es-ES"/>
              </w:rPr>
              <w:t>IV. Bajo ninguna circunstancia existirá aportación del Beneficiario.</w:t>
            </w:r>
          </w:p>
          <w:p w:rsidR="008431F5" w:rsidRPr="00A077D4" w:rsidRDefault="008431F5" w:rsidP="00B76EB3">
            <w:pPr>
              <w:jc w:val="both"/>
              <w:rPr>
                <w:rFonts w:ascii="Arial" w:hAnsi="Arial" w:cs="Arial"/>
                <w:sz w:val="20"/>
                <w:szCs w:val="20"/>
                <w:lang w:val="es-ES"/>
              </w:rPr>
            </w:pPr>
          </w:p>
        </w:tc>
      </w:tr>
    </w:tbl>
    <w:p w:rsidR="00445041" w:rsidRPr="000C6E5F" w:rsidRDefault="000C6E5F" w:rsidP="000C6E5F">
      <w:pPr>
        <w:jc w:val="center"/>
        <w:rPr>
          <w:rFonts w:ascii="Arial" w:hAnsi="Arial" w:cs="Arial"/>
          <w:b/>
          <w:sz w:val="24"/>
          <w:szCs w:val="24"/>
        </w:rPr>
      </w:pPr>
      <w:r>
        <w:t xml:space="preserve"> </w:t>
      </w:r>
    </w:p>
    <w:tbl>
      <w:tblPr>
        <w:tblStyle w:val="Tablaconcuadrcula"/>
        <w:tblW w:w="9322"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322"/>
      </w:tblGrid>
      <w:tr w:rsidR="00CE33EB" w:rsidRPr="00E71C49" w:rsidTr="00B76EB3">
        <w:tc>
          <w:tcPr>
            <w:tcW w:w="9322" w:type="dxa"/>
            <w:tcBorders>
              <w:top w:val="nil"/>
              <w:left w:val="nil"/>
              <w:bottom w:val="single" w:sz="12" w:space="0" w:color="FFE599" w:themeColor="accent4" w:themeTint="66"/>
              <w:right w:val="nil"/>
            </w:tcBorders>
            <w:shd w:val="clear" w:color="auto" w:fill="FFE599" w:themeFill="accent4" w:themeFillTint="66"/>
          </w:tcPr>
          <w:p w:rsidR="00CE33EB" w:rsidRPr="006500B9" w:rsidRDefault="006500B9" w:rsidP="006500B9">
            <w:pPr>
              <w:autoSpaceDE w:val="0"/>
              <w:autoSpaceDN w:val="0"/>
              <w:adjustRightInd w:val="0"/>
              <w:jc w:val="center"/>
              <w:rPr>
                <w:rFonts w:ascii="Arial" w:hAnsi="Arial" w:cs="Arial"/>
                <w:b/>
                <w:sz w:val="20"/>
                <w:szCs w:val="20"/>
                <w:lang w:val="es-ES"/>
              </w:rPr>
            </w:pPr>
            <w:r w:rsidRPr="006500B9">
              <w:rPr>
                <w:rFonts w:ascii="Arial" w:hAnsi="Arial" w:cs="Arial"/>
                <w:b/>
                <w:bCs/>
                <w:color w:val="000000"/>
                <w:sz w:val="24"/>
                <w:szCs w:val="24"/>
                <w:lang w:val="es-ES"/>
              </w:rPr>
              <w:t>Requisitos y Criterios de Elegibilidad.</w:t>
            </w:r>
          </w:p>
        </w:tc>
      </w:tr>
      <w:tr w:rsidR="00D51245" w:rsidRPr="00E71C49" w:rsidTr="00B76EB3">
        <w:tc>
          <w:tcPr>
            <w:tcW w:w="9322" w:type="dxa"/>
            <w:tcBorders>
              <w:top w:val="single" w:sz="12" w:space="0" w:color="FFE599" w:themeColor="accent4" w:themeTint="66"/>
            </w:tcBorders>
          </w:tcPr>
          <w:p w:rsidR="006500B9" w:rsidRPr="006500B9" w:rsidRDefault="006500B9" w:rsidP="00B76EB3">
            <w:pPr>
              <w:shd w:val="clear" w:color="auto" w:fill="FFE599" w:themeFill="accent4" w:themeFillTint="66"/>
              <w:autoSpaceDE w:val="0"/>
              <w:autoSpaceDN w:val="0"/>
              <w:adjustRightInd w:val="0"/>
              <w:jc w:val="both"/>
              <w:rPr>
                <w:rFonts w:ascii="Arial" w:hAnsi="Arial" w:cs="Arial"/>
                <w:color w:val="000000"/>
                <w:sz w:val="20"/>
                <w:szCs w:val="18"/>
                <w:lang w:val="es-ES"/>
              </w:rPr>
            </w:pPr>
            <w:r w:rsidRPr="006500B9">
              <w:rPr>
                <w:rFonts w:ascii="Arial" w:hAnsi="Arial" w:cs="Arial"/>
                <w:b/>
                <w:bCs/>
                <w:color w:val="000000"/>
                <w:sz w:val="20"/>
                <w:szCs w:val="18"/>
                <w:lang w:val="es-ES"/>
              </w:rPr>
              <w:t xml:space="preserve">Criterios Generales. </w:t>
            </w:r>
          </w:p>
          <w:p w:rsidR="006500B9" w:rsidRPr="006500B9" w:rsidRDefault="006500B9" w:rsidP="000C6FAC">
            <w:pPr>
              <w:autoSpaceDE w:val="0"/>
              <w:autoSpaceDN w:val="0"/>
              <w:adjustRightInd w:val="0"/>
              <w:jc w:val="both"/>
              <w:rPr>
                <w:rFonts w:ascii="Arial" w:hAnsi="Arial" w:cs="Arial"/>
                <w:color w:val="000000"/>
                <w:sz w:val="18"/>
                <w:szCs w:val="18"/>
                <w:lang w:val="es-ES"/>
              </w:rPr>
            </w:pPr>
            <w:r w:rsidRPr="006500B9">
              <w:rPr>
                <w:rFonts w:ascii="Arial" w:hAnsi="Arial" w:cs="Arial"/>
                <w:color w:val="000000"/>
                <w:sz w:val="18"/>
                <w:szCs w:val="18"/>
                <w:lang w:val="es-ES"/>
              </w:rPr>
              <w:t xml:space="preserve">El Programa podrá intervenir en los polígonos con asentamientos irregulares que se encuentren inmersos en los Perímetros de Contención Urbana definidos por la SEDATU-CONAVI, en apego a lo estipulado por la Ley de Vivienda y en concordancia con la Política Urbana y de Vivienda del gobierno federal. Esta acción permitirá que los beneficiarios encuentren en el entorno concentración de fuentes de empleo así como infraestructura, equipamientos y servicios urbanos instalados que mejoren su calidad de vida. </w:t>
            </w:r>
          </w:p>
          <w:p w:rsidR="006500B9" w:rsidRDefault="006500B9" w:rsidP="000C6FAC">
            <w:pPr>
              <w:autoSpaceDE w:val="0"/>
              <w:autoSpaceDN w:val="0"/>
              <w:adjustRightInd w:val="0"/>
              <w:jc w:val="both"/>
              <w:rPr>
                <w:rFonts w:ascii="Arial" w:hAnsi="Arial" w:cs="Arial"/>
                <w:color w:val="000000"/>
                <w:sz w:val="18"/>
                <w:szCs w:val="18"/>
                <w:lang w:val="es-ES"/>
              </w:rPr>
            </w:pPr>
            <w:r w:rsidRPr="006500B9">
              <w:rPr>
                <w:rFonts w:ascii="Arial" w:hAnsi="Arial" w:cs="Arial"/>
                <w:color w:val="000000"/>
                <w:sz w:val="18"/>
                <w:szCs w:val="18"/>
                <w:lang w:val="es-ES"/>
              </w:rPr>
              <w:t xml:space="preserve">El Programa podrá intervenir en los polígonos con asentamientos irregulares que se encuentren inmersos en las Zonas de Atención Prioritaria definidos por la SEDESOL. </w:t>
            </w:r>
          </w:p>
          <w:p w:rsidR="00A077D4" w:rsidRPr="006500B9" w:rsidRDefault="00A077D4" w:rsidP="000C6FAC">
            <w:pPr>
              <w:autoSpaceDE w:val="0"/>
              <w:autoSpaceDN w:val="0"/>
              <w:adjustRightInd w:val="0"/>
              <w:jc w:val="both"/>
              <w:rPr>
                <w:rFonts w:ascii="Arial" w:hAnsi="Arial" w:cs="Arial"/>
                <w:sz w:val="24"/>
                <w:szCs w:val="24"/>
                <w:lang w:val="es-ES"/>
              </w:rPr>
            </w:pPr>
          </w:p>
          <w:p w:rsidR="006500B9" w:rsidRPr="006500B9" w:rsidRDefault="006500B9" w:rsidP="00A077D4">
            <w:pPr>
              <w:pageBreakBefore/>
              <w:shd w:val="clear" w:color="auto" w:fill="FFE599" w:themeFill="accent4" w:themeFillTint="66"/>
              <w:autoSpaceDE w:val="0"/>
              <w:autoSpaceDN w:val="0"/>
              <w:adjustRightInd w:val="0"/>
              <w:jc w:val="both"/>
              <w:rPr>
                <w:rFonts w:ascii="Arial" w:hAnsi="Arial" w:cs="Arial"/>
                <w:b/>
                <w:sz w:val="20"/>
                <w:szCs w:val="18"/>
                <w:lang w:val="es-ES"/>
              </w:rPr>
            </w:pPr>
            <w:r w:rsidRPr="006500B9">
              <w:rPr>
                <w:rFonts w:ascii="Arial" w:hAnsi="Arial" w:cs="Arial"/>
                <w:b/>
                <w:sz w:val="20"/>
                <w:szCs w:val="18"/>
                <w:lang w:val="es-ES"/>
              </w:rPr>
              <w:t xml:space="preserve">Para definir los Polígonos de actuación del Programa se observarán los siguientes criterios: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 Encontrarse inmerso dentro de un Perímetro de Contención Urbana.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II. Si al sobreponer el polígono propuesto dentro de los Perímetros de Contención Urbana, se encuentra </w:t>
            </w:r>
            <w:proofErr w:type="gramStart"/>
            <w:r w:rsidRPr="006500B9">
              <w:rPr>
                <w:rFonts w:ascii="Arial" w:hAnsi="Arial" w:cs="Arial"/>
                <w:sz w:val="18"/>
                <w:szCs w:val="18"/>
                <w:lang w:val="es-ES"/>
              </w:rPr>
              <w:t>una</w:t>
            </w:r>
            <w:proofErr w:type="gramEnd"/>
            <w:r w:rsidRPr="006500B9">
              <w:rPr>
                <w:rFonts w:ascii="Arial" w:hAnsi="Arial" w:cs="Arial"/>
                <w:sz w:val="18"/>
                <w:szCs w:val="18"/>
                <w:lang w:val="es-ES"/>
              </w:rPr>
              <w:t xml:space="preserve"> sobre-posición espacial, será factible otorgar el apoyo a la totalidad de los hogares solicitantes del polígono que se encuentren en posesión irregular de un lote.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III. Identificar si el polígono propuesto, presenta una sobre posición espacial con una o más Zonas de Atención Prioritaria. De ser así, se pueden destinar apoyos del Programa a la totalidad de los hogares solicitantes que integran el polígono.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En caso de que no exista sobre posición sólo podrán incorporarse al Programa aquellos solicitantes que observen la condición de pobreza, lo cual será determinado mediante la aplicación del CUIS.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IV. Para las estrategias de atención a la población señaladas en el artículo 4 se aplicará el CUIS para recabar datos de registro. </w:t>
            </w:r>
          </w:p>
          <w:p w:rsidR="00DB5F1C" w:rsidRDefault="00DB5F1C" w:rsidP="000C6FAC">
            <w:pPr>
              <w:autoSpaceDE w:val="0"/>
              <w:autoSpaceDN w:val="0"/>
              <w:adjustRightInd w:val="0"/>
              <w:jc w:val="both"/>
              <w:rPr>
                <w:rFonts w:ascii="Arial" w:hAnsi="Arial" w:cs="Arial"/>
                <w:b/>
                <w:bCs/>
                <w:sz w:val="18"/>
                <w:szCs w:val="18"/>
                <w:lang w:val="es-ES"/>
              </w:rPr>
            </w:pPr>
          </w:p>
          <w:p w:rsidR="006500B9" w:rsidRPr="006500B9" w:rsidRDefault="006500B9" w:rsidP="00B76EB3">
            <w:pPr>
              <w:shd w:val="clear" w:color="auto" w:fill="FFE599" w:themeFill="accent4" w:themeFillTint="66"/>
              <w:autoSpaceDE w:val="0"/>
              <w:autoSpaceDN w:val="0"/>
              <w:adjustRightInd w:val="0"/>
              <w:jc w:val="both"/>
              <w:rPr>
                <w:rFonts w:ascii="Arial" w:hAnsi="Arial" w:cs="Arial"/>
                <w:b/>
                <w:sz w:val="20"/>
                <w:szCs w:val="18"/>
                <w:lang w:val="es-ES"/>
              </w:rPr>
            </w:pPr>
            <w:r w:rsidRPr="006500B9">
              <w:rPr>
                <w:rFonts w:ascii="Arial" w:hAnsi="Arial" w:cs="Arial"/>
                <w:b/>
                <w:bCs/>
                <w:sz w:val="20"/>
                <w:szCs w:val="18"/>
                <w:lang w:val="es-ES"/>
              </w:rPr>
              <w:t xml:space="preserve"> </w:t>
            </w:r>
            <w:r w:rsidRPr="006500B9">
              <w:rPr>
                <w:rFonts w:ascii="Arial" w:hAnsi="Arial" w:cs="Arial"/>
                <w:b/>
                <w:sz w:val="20"/>
                <w:szCs w:val="18"/>
                <w:lang w:val="es-ES"/>
              </w:rPr>
              <w:t xml:space="preserve">Requisitos para determinar polígonos elegibles: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 Acreditar la existencia de asentamientos irregulares.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II. Estar definidos como áreas aptas de incorporación al desarrollo urbano en los instrumentos de planeación </w:t>
            </w:r>
            <w:r w:rsidRPr="006500B9">
              <w:rPr>
                <w:rFonts w:ascii="Arial" w:hAnsi="Arial" w:cs="Arial"/>
                <w:sz w:val="18"/>
                <w:szCs w:val="18"/>
                <w:lang w:val="es-ES"/>
              </w:rPr>
              <w:lastRenderedPageBreak/>
              <w:t xml:space="preserve">urbana vigentes, emitidos por las autoridades competentes o contar con la autorización de las autoridades locales para llevar a cabo el proceso de regularización.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III. Formar parte de un catálogo que deberá ser generado por la Instancia Ejecutora.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IV. Contar con Opiniones Técnicas favorables desde el punto de vista urbano y de análisis de riesgos, emitidas por parte de las autoridades competentes, para asegurar que los lotes a regularizar se localicen en áreas aptas para el desarrollo urbano.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V. Contar con un diagnóstico de la cobertura general de servicios (agua potable, drenaje, energía eléctrica, manejo de residuos sólidos y transporte masivo). </w:t>
            </w:r>
          </w:p>
          <w:p w:rsidR="006500B9" w:rsidRPr="006500B9" w:rsidRDefault="006500B9" w:rsidP="000C6FAC">
            <w:pPr>
              <w:autoSpaceDE w:val="0"/>
              <w:autoSpaceDN w:val="0"/>
              <w:adjustRightInd w:val="0"/>
              <w:jc w:val="both"/>
              <w:rPr>
                <w:rFonts w:ascii="Arial" w:hAnsi="Arial" w:cs="Arial"/>
                <w:sz w:val="18"/>
                <w:szCs w:val="18"/>
                <w:lang w:val="es-ES"/>
              </w:rPr>
            </w:pPr>
            <w:r w:rsidRPr="006500B9">
              <w:rPr>
                <w:rFonts w:ascii="Arial" w:hAnsi="Arial" w:cs="Arial"/>
                <w:sz w:val="18"/>
                <w:szCs w:val="18"/>
                <w:lang w:val="es-ES"/>
              </w:rPr>
              <w:t xml:space="preserve">VI. Estar considerado en el Programa de Trabajo elaborado por la instancia Ejecutora. </w:t>
            </w:r>
          </w:p>
          <w:p w:rsidR="00CA4C12" w:rsidRPr="00E71C49" w:rsidRDefault="006500B9" w:rsidP="000C6FAC">
            <w:pPr>
              <w:autoSpaceDE w:val="0"/>
              <w:autoSpaceDN w:val="0"/>
              <w:adjustRightInd w:val="0"/>
              <w:jc w:val="both"/>
              <w:rPr>
                <w:sz w:val="20"/>
                <w:szCs w:val="20"/>
              </w:rPr>
            </w:pPr>
            <w:r w:rsidRPr="006500B9">
              <w:rPr>
                <w:rFonts w:ascii="Arial" w:hAnsi="Arial" w:cs="Arial"/>
                <w:sz w:val="18"/>
                <w:szCs w:val="18"/>
                <w:lang w:val="es-ES"/>
              </w:rPr>
              <w:t>VII. Preferentemente contar con Atlas de Peligros Naturales o de Mapas de Riesgos.</w:t>
            </w:r>
          </w:p>
        </w:tc>
      </w:tr>
    </w:tbl>
    <w:p w:rsidR="00A63FD1" w:rsidRDefault="00A63FD1" w:rsidP="00FF763C">
      <w:pPr>
        <w:rPr>
          <w:sz w:val="18"/>
          <w:szCs w:val="18"/>
        </w:rPr>
      </w:pPr>
    </w:p>
    <w:p w:rsidR="00765413" w:rsidRPr="00DB5F1C" w:rsidRDefault="00765413" w:rsidP="00FF763C">
      <w:pPr>
        <w:rPr>
          <w:rFonts w:ascii="Arial" w:hAnsi="Arial" w:cs="Arial"/>
          <w:sz w:val="20"/>
          <w:szCs w:val="18"/>
        </w:rPr>
      </w:pPr>
      <w:r w:rsidRPr="00DB5F1C">
        <w:rPr>
          <w:rFonts w:ascii="Arial" w:hAnsi="Arial" w:cs="Arial"/>
          <w:b/>
          <w:bCs/>
          <w:sz w:val="20"/>
          <w:szCs w:val="18"/>
        </w:rPr>
        <w:t>De los Hogares Beneficiarios</w:t>
      </w:r>
    </w:p>
    <w:p w:rsidR="00792017" w:rsidRPr="00A077D4" w:rsidRDefault="00A63FD1" w:rsidP="00A077D4">
      <w:pPr>
        <w:spacing w:after="0"/>
        <w:jc w:val="both"/>
        <w:rPr>
          <w:rFonts w:ascii="Arial" w:hAnsi="Arial" w:cs="Arial"/>
          <w:b/>
          <w:noProof/>
          <w:sz w:val="20"/>
          <w:szCs w:val="20"/>
          <w:lang w:val="es-ES" w:eastAsia="es-ES"/>
        </w:rPr>
      </w:pPr>
      <w:r w:rsidRPr="00A077D4">
        <w:rPr>
          <w:rFonts w:ascii="Arial" w:hAnsi="Arial" w:cs="Arial"/>
          <w:sz w:val="20"/>
          <w:szCs w:val="20"/>
        </w:rPr>
        <w:t xml:space="preserve">Para participar en este Programa y ser elegibles, la o el solicitante deberá cumplir con los </w:t>
      </w:r>
      <w:r w:rsidR="00A077D4">
        <w:rPr>
          <w:rFonts w:ascii="Arial" w:hAnsi="Arial" w:cs="Arial"/>
          <w:sz w:val="20"/>
          <w:szCs w:val="20"/>
        </w:rPr>
        <w:t>s</w:t>
      </w:r>
      <w:r w:rsidRPr="00A077D4">
        <w:rPr>
          <w:rFonts w:ascii="Arial" w:hAnsi="Arial" w:cs="Arial"/>
          <w:sz w:val="20"/>
          <w:szCs w:val="20"/>
        </w:rPr>
        <w:t xml:space="preserve">iguientes criterios y Requisitos específicos: </w:t>
      </w:r>
    </w:p>
    <w:p w:rsidR="00A63FD1" w:rsidRDefault="00A63FD1" w:rsidP="00FF763C">
      <w:pPr>
        <w:rPr>
          <w:rFonts w:ascii="Arial" w:hAnsi="Arial" w:cs="Arial"/>
          <w:b/>
          <w:noProof/>
          <w:sz w:val="20"/>
          <w:szCs w:val="20"/>
          <w:lang w:val="es-ES"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528"/>
      </w:tblGrid>
      <w:tr w:rsidR="00A63FD1" w:rsidRPr="00DB5F1C" w:rsidTr="00A077D4">
        <w:trPr>
          <w:trHeight w:val="336"/>
        </w:trPr>
        <w:tc>
          <w:tcPr>
            <w:tcW w:w="379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63FD1" w:rsidRPr="00A077D4" w:rsidRDefault="00A63FD1" w:rsidP="00A63FD1">
            <w:pPr>
              <w:autoSpaceDE w:val="0"/>
              <w:autoSpaceDN w:val="0"/>
              <w:adjustRightInd w:val="0"/>
              <w:spacing w:after="0" w:line="240" w:lineRule="auto"/>
              <w:jc w:val="center"/>
              <w:rPr>
                <w:rFonts w:ascii="Arial" w:hAnsi="Arial" w:cs="Arial"/>
                <w:b/>
                <w:color w:val="000000"/>
                <w:sz w:val="20"/>
                <w:szCs w:val="18"/>
                <w:lang w:val="es-ES"/>
              </w:rPr>
            </w:pPr>
            <w:r w:rsidRPr="00A077D4">
              <w:rPr>
                <w:rFonts w:ascii="Arial" w:hAnsi="Arial" w:cs="Arial"/>
                <w:b/>
                <w:color w:val="000000"/>
                <w:sz w:val="20"/>
                <w:szCs w:val="18"/>
                <w:lang w:val="es-ES"/>
              </w:rPr>
              <w:t>Criterios1</w:t>
            </w:r>
          </w:p>
        </w:tc>
        <w:tc>
          <w:tcPr>
            <w:tcW w:w="552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63FD1" w:rsidRPr="00A077D4" w:rsidRDefault="00A63FD1" w:rsidP="00A63FD1">
            <w:pPr>
              <w:autoSpaceDE w:val="0"/>
              <w:autoSpaceDN w:val="0"/>
              <w:adjustRightInd w:val="0"/>
              <w:spacing w:after="0" w:line="240" w:lineRule="auto"/>
              <w:jc w:val="center"/>
              <w:rPr>
                <w:rFonts w:ascii="Arial" w:hAnsi="Arial" w:cs="Arial"/>
                <w:b/>
                <w:color w:val="000000"/>
                <w:sz w:val="20"/>
                <w:szCs w:val="18"/>
                <w:lang w:val="es-ES"/>
              </w:rPr>
            </w:pPr>
            <w:r w:rsidRPr="00A077D4">
              <w:rPr>
                <w:rFonts w:ascii="Arial" w:hAnsi="Arial" w:cs="Arial"/>
                <w:b/>
                <w:color w:val="000000"/>
                <w:sz w:val="20"/>
                <w:szCs w:val="18"/>
                <w:lang w:val="es-ES"/>
              </w:rPr>
              <w:t>Requisitos (documentos requeridos)</w:t>
            </w:r>
          </w:p>
        </w:tc>
      </w:tr>
      <w:tr w:rsidR="00A63FD1" w:rsidRPr="00DB5F1C" w:rsidTr="00A077D4">
        <w:trPr>
          <w:trHeight w:val="338"/>
        </w:trPr>
        <w:tc>
          <w:tcPr>
            <w:tcW w:w="3794" w:type="dxa"/>
            <w:tcBorders>
              <w:top w:val="single" w:sz="12" w:space="0" w:color="538135" w:themeColor="accent6" w:themeShade="BF"/>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rPr>
                <w:rFonts w:ascii="Arial" w:hAnsi="Arial" w:cs="Arial"/>
                <w:sz w:val="18"/>
                <w:szCs w:val="18"/>
              </w:rPr>
            </w:pPr>
            <w:r w:rsidRPr="00DB5F1C">
              <w:rPr>
                <w:rFonts w:ascii="Arial" w:hAnsi="Arial" w:cs="Arial"/>
                <w:sz w:val="18"/>
                <w:szCs w:val="18"/>
              </w:rPr>
              <w:t xml:space="preserve">1.- Que la o el solicitante sea mayor de edad </w:t>
            </w:r>
          </w:p>
          <w:p w:rsidR="00A63FD1" w:rsidRPr="00DB5F1C" w:rsidRDefault="00A63FD1" w:rsidP="00A63FD1">
            <w:pPr>
              <w:autoSpaceDE w:val="0"/>
              <w:autoSpaceDN w:val="0"/>
              <w:adjustRightInd w:val="0"/>
              <w:spacing w:after="0" w:line="240" w:lineRule="auto"/>
              <w:rPr>
                <w:rFonts w:ascii="Arial" w:hAnsi="Arial" w:cs="Arial"/>
                <w:color w:val="000000"/>
                <w:sz w:val="18"/>
                <w:szCs w:val="18"/>
                <w:lang w:val="es-ES"/>
              </w:rPr>
            </w:pPr>
          </w:p>
        </w:tc>
        <w:tc>
          <w:tcPr>
            <w:tcW w:w="5528" w:type="dxa"/>
            <w:tcBorders>
              <w:top w:val="single" w:sz="12" w:space="0" w:color="538135" w:themeColor="accent6" w:themeShade="BF"/>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jc w:val="both"/>
              <w:rPr>
                <w:rFonts w:ascii="Arial" w:hAnsi="Arial" w:cs="Arial"/>
                <w:sz w:val="18"/>
                <w:szCs w:val="18"/>
              </w:rPr>
            </w:pPr>
            <w:r w:rsidRPr="00DB5F1C">
              <w:rPr>
                <w:rFonts w:ascii="Arial" w:hAnsi="Arial" w:cs="Arial"/>
                <w:sz w:val="18"/>
                <w:szCs w:val="18"/>
              </w:rPr>
              <w:t xml:space="preserve">1. Entregar copia y presentar original para cotejo de cualquiera de los siguientes documentos: Credencial para votar, Cartilla del Servicio Militar Nacional, Pasaporte, Acta de Nacimiento o CURP. </w:t>
            </w:r>
          </w:p>
          <w:p w:rsidR="00A63FD1" w:rsidRPr="00DB5F1C" w:rsidRDefault="00A63FD1" w:rsidP="00765413">
            <w:pPr>
              <w:autoSpaceDE w:val="0"/>
              <w:autoSpaceDN w:val="0"/>
              <w:adjustRightInd w:val="0"/>
              <w:spacing w:after="0" w:line="240" w:lineRule="auto"/>
              <w:jc w:val="both"/>
              <w:rPr>
                <w:rFonts w:ascii="Arial" w:hAnsi="Arial" w:cs="Arial"/>
                <w:color w:val="000000"/>
                <w:sz w:val="18"/>
                <w:szCs w:val="18"/>
                <w:lang w:val="es-ES"/>
              </w:rPr>
            </w:pPr>
          </w:p>
        </w:tc>
      </w:tr>
      <w:tr w:rsidR="00A63FD1" w:rsidRPr="00DB5F1C" w:rsidTr="00A077D4">
        <w:trPr>
          <w:trHeight w:val="592"/>
        </w:trPr>
        <w:tc>
          <w:tcPr>
            <w:tcW w:w="3794"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rPr>
                <w:rFonts w:ascii="Arial" w:hAnsi="Arial" w:cs="Arial"/>
                <w:sz w:val="18"/>
                <w:szCs w:val="18"/>
              </w:rPr>
            </w:pPr>
            <w:r w:rsidRPr="00DB5F1C">
              <w:rPr>
                <w:rFonts w:ascii="Arial" w:hAnsi="Arial" w:cs="Arial"/>
                <w:sz w:val="18"/>
                <w:szCs w:val="18"/>
              </w:rPr>
              <w:t xml:space="preserve">2.- Presentar solicitud y llenar el CUIS y cumplir con las disposiciones para llevar a cabo la regularización de la tenencia de la tierra. </w:t>
            </w:r>
          </w:p>
          <w:p w:rsidR="00A63FD1" w:rsidRPr="00DB5F1C" w:rsidRDefault="00A63FD1" w:rsidP="00A63FD1">
            <w:pPr>
              <w:autoSpaceDE w:val="0"/>
              <w:autoSpaceDN w:val="0"/>
              <w:adjustRightInd w:val="0"/>
              <w:spacing w:after="0" w:line="240" w:lineRule="auto"/>
              <w:rPr>
                <w:rFonts w:ascii="Arial" w:hAnsi="Arial" w:cs="Arial"/>
                <w:color w:val="000000"/>
                <w:sz w:val="18"/>
                <w:szCs w:val="18"/>
                <w:lang w:val="es-ES"/>
              </w:rPr>
            </w:pPr>
          </w:p>
        </w:tc>
        <w:tc>
          <w:tcPr>
            <w:tcW w:w="5528"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jc w:val="both"/>
              <w:rPr>
                <w:rFonts w:ascii="Arial" w:hAnsi="Arial" w:cs="Arial"/>
                <w:sz w:val="18"/>
                <w:szCs w:val="18"/>
              </w:rPr>
            </w:pPr>
            <w:r w:rsidRPr="00DB5F1C">
              <w:rPr>
                <w:rFonts w:ascii="Arial" w:hAnsi="Arial" w:cs="Arial"/>
                <w:sz w:val="18"/>
                <w:szCs w:val="18"/>
              </w:rPr>
              <w:t xml:space="preserve">2. Proporcionar bajo protesta de decir verdad, los datos necesarios para el llenado del Cuestionario Único de Información Socioeconómica (CUIS) (Anexos 1 y 2). Será responsabilidad de la Instancia Ejecutora validar la información proporcionada por las o los solicitantes </w:t>
            </w:r>
          </w:p>
          <w:p w:rsidR="00A63FD1" w:rsidRPr="00DB5F1C" w:rsidRDefault="00A63FD1" w:rsidP="00765413">
            <w:pPr>
              <w:autoSpaceDE w:val="0"/>
              <w:autoSpaceDN w:val="0"/>
              <w:adjustRightInd w:val="0"/>
              <w:spacing w:after="0" w:line="240" w:lineRule="auto"/>
              <w:jc w:val="both"/>
              <w:rPr>
                <w:rFonts w:ascii="Arial" w:hAnsi="Arial" w:cs="Arial"/>
                <w:color w:val="000000"/>
                <w:sz w:val="18"/>
                <w:szCs w:val="18"/>
                <w:lang w:val="es-ES"/>
              </w:rPr>
            </w:pPr>
          </w:p>
        </w:tc>
      </w:tr>
      <w:tr w:rsidR="00A63FD1" w:rsidRPr="00DB5F1C" w:rsidTr="00A077D4">
        <w:trPr>
          <w:trHeight w:val="337"/>
        </w:trPr>
        <w:tc>
          <w:tcPr>
            <w:tcW w:w="3794"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rPr>
                <w:rFonts w:ascii="Arial" w:hAnsi="Arial" w:cs="Arial"/>
                <w:sz w:val="18"/>
                <w:szCs w:val="18"/>
              </w:rPr>
            </w:pPr>
            <w:r w:rsidRPr="00DB5F1C">
              <w:rPr>
                <w:rFonts w:ascii="Arial" w:hAnsi="Arial" w:cs="Arial"/>
                <w:sz w:val="18"/>
                <w:szCs w:val="18"/>
              </w:rPr>
              <w:t xml:space="preserve">3.- Tener posesión de un lote irregular. </w:t>
            </w:r>
          </w:p>
          <w:p w:rsidR="00A63FD1" w:rsidRPr="00DB5F1C" w:rsidRDefault="00A63FD1" w:rsidP="00A63FD1">
            <w:pPr>
              <w:autoSpaceDE w:val="0"/>
              <w:autoSpaceDN w:val="0"/>
              <w:adjustRightInd w:val="0"/>
              <w:spacing w:after="0" w:line="240" w:lineRule="auto"/>
              <w:rPr>
                <w:rFonts w:ascii="Arial" w:hAnsi="Arial" w:cs="Arial"/>
                <w:color w:val="000000"/>
                <w:sz w:val="18"/>
                <w:szCs w:val="18"/>
                <w:lang w:val="es-ES"/>
              </w:rPr>
            </w:pPr>
          </w:p>
        </w:tc>
        <w:tc>
          <w:tcPr>
            <w:tcW w:w="5528"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jc w:val="both"/>
              <w:rPr>
                <w:rFonts w:ascii="Arial" w:hAnsi="Arial" w:cs="Arial"/>
                <w:sz w:val="18"/>
                <w:szCs w:val="18"/>
              </w:rPr>
            </w:pPr>
            <w:r w:rsidRPr="00DB5F1C">
              <w:rPr>
                <w:rFonts w:ascii="Arial" w:hAnsi="Arial" w:cs="Arial"/>
                <w:sz w:val="18"/>
                <w:szCs w:val="18"/>
              </w:rPr>
              <w:t xml:space="preserve">3. Entregar copia de Constancia emitida por la Instancia Ejecutora de que el lote forma parte del censo de verificación de uso, posesión y destino de lotes, que podrá ser consultado con la misma. </w:t>
            </w:r>
          </w:p>
          <w:p w:rsidR="00A63FD1" w:rsidRPr="00DB5F1C" w:rsidRDefault="00A63FD1" w:rsidP="00765413">
            <w:pPr>
              <w:autoSpaceDE w:val="0"/>
              <w:autoSpaceDN w:val="0"/>
              <w:adjustRightInd w:val="0"/>
              <w:spacing w:after="0" w:line="240" w:lineRule="auto"/>
              <w:jc w:val="both"/>
              <w:rPr>
                <w:rFonts w:ascii="Arial" w:hAnsi="Arial" w:cs="Arial"/>
                <w:color w:val="000000"/>
                <w:sz w:val="18"/>
                <w:szCs w:val="18"/>
                <w:lang w:val="es-ES"/>
              </w:rPr>
            </w:pPr>
          </w:p>
        </w:tc>
      </w:tr>
      <w:tr w:rsidR="00A63FD1" w:rsidRPr="00DB5F1C" w:rsidTr="00A077D4">
        <w:trPr>
          <w:trHeight w:val="338"/>
        </w:trPr>
        <w:tc>
          <w:tcPr>
            <w:tcW w:w="3794"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rPr>
                <w:rFonts w:ascii="Arial" w:hAnsi="Arial" w:cs="Arial"/>
                <w:sz w:val="18"/>
                <w:szCs w:val="18"/>
              </w:rPr>
            </w:pPr>
            <w:r w:rsidRPr="00DB5F1C">
              <w:rPr>
                <w:rFonts w:ascii="Arial" w:hAnsi="Arial" w:cs="Arial"/>
                <w:sz w:val="18"/>
                <w:szCs w:val="18"/>
              </w:rPr>
              <w:t xml:space="preserve">4.- No haber recibido previamente recursos del Programa. </w:t>
            </w:r>
          </w:p>
          <w:p w:rsidR="00A63FD1" w:rsidRPr="00DB5F1C" w:rsidRDefault="00A63FD1" w:rsidP="00A63FD1">
            <w:pPr>
              <w:autoSpaceDE w:val="0"/>
              <w:autoSpaceDN w:val="0"/>
              <w:adjustRightInd w:val="0"/>
              <w:spacing w:after="0" w:line="240" w:lineRule="auto"/>
              <w:rPr>
                <w:rFonts w:ascii="Arial" w:hAnsi="Arial" w:cs="Arial"/>
                <w:color w:val="000000"/>
                <w:sz w:val="18"/>
                <w:szCs w:val="18"/>
                <w:lang w:val="es-ES"/>
              </w:rPr>
            </w:pPr>
          </w:p>
        </w:tc>
        <w:tc>
          <w:tcPr>
            <w:tcW w:w="5528" w:type="dxa"/>
            <w:tc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tcBorders>
          </w:tcPr>
          <w:p w:rsidR="00DB5F1C" w:rsidRPr="00DB5F1C" w:rsidRDefault="00DB5F1C" w:rsidP="00DB5F1C">
            <w:pPr>
              <w:pStyle w:val="Default"/>
              <w:jc w:val="both"/>
              <w:rPr>
                <w:rFonts w:ascii="Arial" w:hAnsi="Arial" w:cs="Arial"/>
                <w:sz w:val="18"/>
                <w:szCs w:val="18"/>
              </w:rPr>
            </w:pPr>
            <w:r w:rsidRPr="00DB5F1C">
              <w:rPr>
                <w:rFonts w:ascii="Arial" w:hAnsi="Arial" w:cs="Arial"/>
                <w:sz w:val="18"/>
                <w:szCs w:val="18"/>
              </w:rPr>
              <w:t xml:space="preserve">4. No estar incluido en el Padrón de Beneficiarios del Programa de anteriores ejercicios fiscales, lo que se comprobará mediante la entrega de copia de la Clave Única del Registro de Población (CURP). </w:t>
            </w:r>
          </w:p>
          <w:p w:rsidR="00A63FD1" w:rsidRPr="00DB5F1C" w:rsidRDefault="00A63FD1" w:rsidP="00765413">
            <w:pPr>
              <w:autoSpaceDE w:val="0"/>
              <w:autoSpaceDN w:val="0"/>
              <w:adjustRightInd w:val="0"/>
              <w:spacing w:after="0" w:line="240" w:lineRule="auto"/>
              <w:jc w:val="both"/>
              <w:rPr>
                <w:rFonts w:ascii="Arial" w:hAnsi="Arial" w:cs="Arial"/>
                <w:color w:val="000000"/>
                <w:sz w:val="18"/>
                <w:szCs w:val="18"/>
                <w:lang w:val="es-ES"/>
              </w:rPr>
            </w:pPr>
          </w:p>
        </w:tc>
      </w:tr>
    </w:tbl>
    <w:p w:rsidR="00A63FD1" w:rsidRDefault="00A63FD1" w:rsidP="00FF763C">
      <w:pPr>
        <w:rPr>
          <w:rFonts w:ascii="Arial" w:hAnsi="Arial" w:cs="Arial"/>
          <w:b/>
          <w:sz w:val="20"/>
          <w:szCs w:val="20"/>
        </w:rPr>
      </w:pPr>
    </w:p>
    <w:p w:rsidR="00033329" w:rsidRDefault="00033329" w:rsidP="00DB5F1C">
      <w:pPr>
        <w:rPr>
          <w:rFonts w:ascii="Arial" w:hAnsi="Arial" w:cs="Arial"/>
          <w:color w:val="000000"/>
          <w:sz w:val="18"/>
          <w:szCs w:val="18"/>
          <w:lang w:val="es-ES"/>
        </w:rPr>
      </w:pPr>
    </w:p>
    <w:p w:rsidR="00033329" w:rsidRPr="00033329" w:rsidRDefault="00033329" w:rsidP="00033329">
      <w:pPr>
        <w:rPr>
          <w:rFonts w:ascii="Arial" w:hAnsi="Arial" w:cs="Arial"/>
          <w:sz w:val="18"/>
          <w:szCs w:val="18"/>
          <w:lang w:val="es-ES"/>
        </w:rPr>
      </w:pPr>
    </w:p>
    <w:p w:rsidR="00033329" w:rsidRPr="00033329" w:rsidRDefault="00033329" w:rsidP="00033329">
      <w:pPr>
        <w:rPr>
          <w:rFonts w:ascii="Arial" w:hAnsi="Arial" w:cs="Arial"/>
          <w:sz w:val="18"/>
          <w:szCs w:val="18"/>
          <w:lang w:val="es-ES"/>
        </w:rPr>
      </w:pPr>
    </w:p>
    <w:p w:rsidR="00033329" w:rsidRDefault="00033329" w:rsidP="00033329">
      <w:pPr>
        <w:rPr>
          <w:rFonts w:ascii="Arial" w:hAnsi="Arial" w:cs="Arial"/>
          <w:sz w:val="18"/>
          <w:szCs w:val="18"/>
          <w:lang w:val="es-ES"/>
        </w:rPr>
      </w:pPr>
    </w:p>
    <w:p w:rsidR="00033329" w:rsidRDefault="00033329" w:rsidP="00033329">
      <w:pPr>
        <w:rPr>
          <w:rFonts w:ascii="Arial" w:hAnsi="Arial" w:cs="Arial"/>
          <w:sz w:val="18"/>
          <w:szCs w:val="18"/>
          <w:lang w:val="es-ES"/>
        </w:rPr>
      </w:pPr>
    </w:p>
    <w:p w:rsidR="00DB5F1C" w:rsidRPr="00033329" w:rsidRDefault="00033329" w:rsidP="00033329">
      <w:pPr>
        <w:tabs>
          <w:tab w:val="left" w:pos="8071"/>
        </w:tabs>
        <w:rPr>
          <w:rFonts w:ascii="Arial" w:hAnsi="Arial" w:cs="Arial"/>
          <w:sz w:val="18"/>
          <w:szCs w:val="18"/>
          <w:lang w:val="es-ES"/>
        </w:rPr>
      </w:pPr>
      <w:r>
        <w:rPr>
          <w:rFonts w:ascii="Arial" w:hAnsi="Arial" w:cs="Arial"/>
          <w:sz w:val="18"/>
          <w:szCs w:val="18"/>
          <w:lang w:val="es-ES"/>
        </w:rPr>
        <w:tab/>
      </w:r>
    </w:p>
    <w:p w:rsidR="00DB5F1C" w:rsidRPr="00E71C49" w:rsidRDefault="00DB5F1C" w:rsidP="00DB5F1C">
      <w:pPr>
        <w:rPr>
          <w:rFonts w:ascii="Arial" w:hAnsi="Arial" w:cs="Arial"/>
          <w:b/>
          <w:sz w:val="20"/>
          <w:szCs w:val="20"/>
        </w:rPr>
      </w:pPr>
      <w:r>
        <w:rPr>
          <w:noProof/>
          <w:lang w:val="es-ES" w:eastAsia="es-ES"/>
        </w:rPr>
        <w:lastRenderedPageBreak/>
        <w:drawing>
          <wp:inline distT="0" distB="0" distL="0" distR="0" wp14:anchorId="4223F7E4" wp14:editId="0A567312">
            <wp:extent cx="5975498" cy="5029199"/>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835" t="30030" r="3513" b="6161"/>
                    <a:stretch/>
                  </pic:blipFill>
                  <pic:spPr bwMode="auto">
                    <a:xfrm>
                      <a:off x="0" y="0"/>
                      <a:ext cx="5978843" cy="5032015"/>
                    </a:xfrm>
                    <a:prstGeom prst="rect">
                      <a:avLst/>
                    </a:prstGeom>
                    <a:ln>
                      <a:noFill/>
                    </a:ln>
                    <a:extLst>
                      <a:ext uri="{53640926-AAD7-44D8-BBD7-CCE9431645EC}">
                        <a14:shadowObscured xmlns:a14="http://schemas.microsoft.com/office/drawing/2010/main"/>
                      </a:ext>
                    </a:extLst>
                  </pic:spPr>
                </pic:pic>
              </a:graphicData>
            </a:graphic>
          </wp:inline>
        </w:drawing>
      </w:r>
    </w:p>
    <w:sectPr w:rsidR="00DB5F1C" w:rsidRPr="00E71C49" w:rsidSect="00381E76">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92A" w:rsidRDefault="00BD392A" w:rsidP="00FF763C">
      <w:pPr>
        <w:spacing w:after="0" w:line="240" w:lineRule="auto"/>
      </w:pPr>
      <w:r>
        <w:separator/>
      </w:r>
    </w:p>
  </w:endnote>
  <w:endnote w:type="continuationSeparator" w:id="0">
    <w:p w:rsidR="00BD392A" w:rsidRDefault="00BD392A"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3A" w:rsidRDefault="00A037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A0373A" w:rsidRPr="00A0373A">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0C6E5F">
          <w:pPr>
            <w:pStyle w:val="Piedepgina"/>
            <w:jc w:val="right"/>
          </w:pPr>
          <w:r>
            <w:t>Catá</w:t>
          </w:r>
          <w:r w:rsidR="00D02125">
            <w:t>logo de Programas Federales 201</w:t>
          </w:r>
          <w:r w:rsidR="000C6E5F">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3A" w:rsidRDefault="00A037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92A" w:rsidRDefault="00BD392A" w:rsidP="00FF763C">
      <w:pPr>
        <w:spacing w:after="0" w:line="240" w:lineRule="auto"/>
      </w:pPr>
      <w:r>
        <w:separator/>
      </w:r>
    </w:p>
  </w:footnote>
  <w:footnote w:type="continuationSeparator" w:id="0">
    <w:p w:rsidR="00BD392A" w:rsidRDefault="00BD392A"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3A" w:rsidRDefault="00A037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A0373A">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-723811</wp:posOffset>
          </wp:positionH>
          <wp:positionV relativeFrom="paragraph">
            <wp:posOffset>-300990</wp:posOffset>
          </wp:positionV>
          <wp:extent cx="7054850" cy="792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73A" w:rsidRDefault="00A037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298"/>
    <w:multiLevelType w:val="hybridMultilevel"/>
    <w:tmpl w:val="226836F8"/>
    <w:lvl w:ilvl="0" w:tplc="31CA7E38">
      <w:start w:val="3"/>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54475D"/>
    <w:multiLevelType w:val="hybridMultilevel"/>
    <w:tmpl w:val="945E77C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B750650"/>
    <w:multiLevelType w:val="hybridMultilevel"/>
    <w:tmpl w:val="24DEE170"/>
    <w:lvl w:ilvl="0" w:tplc="0C0A0001">
      <w:start w:val="1"/>
      <w:numFmt w:val="bullet"/>
      <w:lvlText w:val=""/>
      <w:lvlJc w:val="left"/>
      <w:pPr>
        <w:ind w:left="1830" w:hanging="360"/>
      </w:pPr>
      <w:rPr>
        <w:rFonts w:ascii="Symbol" w:hAnsi="Symbol" w:hint="default"/>
      </w:rPr>
    </w:lvl>
    <w:lvl w:ilvl="1" w:tplc="0C0A0003" w:tentative="1">
      <w:start w:val="1"/>
      <w:numFmt w:val="bullet"/>
      <w:lvlText w:val="o"/>
      <w:lvlJc w:val="left"/>
      <w:pPr>
        <w:ind w:left="2550" w:hanging="360"/>
      </w:pPr>
      <w:rPr>
        <w:rFonts w:ascii="Courier New" w:hAnsi="Courier New" w:cs="Courier New" w:hint="default"/>
      </w:rPr>
    </w:lvl>
    <w:lvl w:ilvl="2" w:tplc="0C0A0005" w:tentative="1">
      <w:start w:val="1"/>
      <w:numFmt w:val="bullet"/>
      <w:lvlText w:val=""/>
      <w:lvlJc w:val="left"/>
      <w:pPr>
        <w:ind w:left="3270" w:hanging="360"/>
      </w:pPr>
      <w:rPr>
        <w:rFonts w:ascii="Wingdings" w:hAnsi="Wingdings" w:hint="default"/>
      </w:rPr>
    </w:lvl>
    <w:lvl w:ilvl="3" w:tplc="0C0A0001" w:tentative="1">
      <w:start w:val="1"/>
      <w:numFmt w:val="bullet"/>
      <w:lvlText w:val=""/>
      <w:lvlJc w:val="left"/>
      <w:pPr>
        <w:ind w:left="3990" w:hanging="360"/>
      </w:pPr>
      <w:rPr>
        <w:rFonts w:ascii="Symbol" w:hAnsi="Symbol" w:hint="default"/>
      </w:rPr>
    </w:lvl>
    <w:lvl w:ilvl="4" w:tplc="0C0A0003" w:tentative="1">
      <w:start w:val="1"/>
      <w:numFmt w:val="bullet"/>
      <w:lvlText w:val="o"/>
      <w:lvlJc w:val="left"/>
      <w:pPr>
        <w:ind w:left="4710" w:hanging="360"/>
      </w:pPr>
      <w:rPr>
        <w:rFonts w:ascii="Courier New" w:hAnsi="Courier New" w:cs="Courier New" w:hint="default"/>
      </w:rPr>
    </w:lvl>
    <w:lvl w:ilvl="5" w:tplc="0C0A0005" w:tentative="1">
      <w:start w:val="1"/>
      <w:numFmt w:val="bullet"/>
      <w:lvlText w:val=""/>
      <w:lvlJc w:val="left"/>
      <w:pPr>
        <w:ind w:left="5430" w:hanging="360"/>
      </w:pPr>
      <w:rPr>
        <w:rFonts w:ascii="Wingdings" w:hAnsi="Wingdings" w:hint="default"/>
      </w:rPr>
    </w:lvl>
    <w:lvl w:ilvl="6" w:tplc="0C0A0001" w:tentative="1">
      <w:start w:val="1"/>
      <w:numFmt w:val="bullet"/>
      <w:lvlText w:val=""/>
      <w:lvlJc w:val="left"/>
      <w:pPr>
        <w:ind w:left="6150" w:hanging="360"/>
      </w:pPr>
      <w:rPr>
        <w:rFonts w:ascii="Symbol" w:hAnsi="Symbol" w:hint="default"/>
      </w:rPr>
    </w:lvl>
    <w:lvl w:ilvl="7" w:tplc="0C0A0003" w:tentative="1">
      <w:start w:val="1"/>
      <w:numFmt w:val="bullet"/>
      <w:lvlText w:val="o"/>
      <w:lvlJc w:val="left"/>
      <w:pPr>
        <w:ind w:left="6870" w:hanging="360"/>
      </w:pPr>
      <w:rPr>
        <w:rFonts w:ascii="Courier New" w:hAnsi="Courier New" w:cs="Courier New" w:hint="default"/>
      </w:rPr>
    </w:lvl>
    <w:lvl w:ilvl="8" w:tplc="0C0A0005" w:tentative="1">
      <w:start w:val="1"/>
      <w:numFmt w:val="bullet"/>
      <w:lvlText w:val=""/>
      <w:lvlJc w:val="left"/>
      <w:pPr>
        <w:ind w:left="7590" w:hanging="360"/>
      </w:pPr>
      <w:rPr>
        <w:rFonts w:ascii="Wingdings" w:hAnsi="Wingdings" w:hint="default"/>
      </w:rPr>
    </w:lvl>
  </w:abstractNum>
  <w:abstractNum w:abstractNumId="4">
    <w:nsid w:val="1D7F4835"/>
    <w:multiLevelType w:val="hybridMultilevel"/>
    <w:tmpl w:val="DBDAF09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D30EDE"/>
    <w:multiLevelType w:val="hybridMultilevel"/>
    <w:tmpl w:val="F1F6FAE0"/>
    <w:lvl w:ilvl="0" w:tplc="8CA4D28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4540725D"/>
    <w:multiLevelType w:val="hybridMultilevel"/>
    <w:tmpl w:val="06F6449A"/>
    <w:lvl w:ilvl="0" w:tplc="FFE0F162">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46F01829"/>
    <w:multiLevelType w:val="hybridMultilevel"/>
    <w:tmpl w:val="6922DB9A"/>
    <w:lvl w:ilvl="0" w:tplc="4A9EF0CC">
      <w:start w:val="1"/>
      <w:numFmt w:val="decimal"/>
      <w:lvlText w:val="%1."/>
      <w:lvlJc w:val="left"/>
      <w:pPr>
        <w:ind w:left="720" w:hanging="360"/>
      </w:pPr>
      <w:rPr>
        <w:rFonts w:ascii="Arial" w:eastAsia="Calibr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8F48A8"/>
    <w:multiLevelType w:val="hybridMultilevel"/>
    <w:tmpl w:val="3C9C8B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1EC6638"/>
    <w:multiLevelType w:val="hybridMultilevel"/>
    <w:tmpl w:val="176CDB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63D7F13"/>
    <w:multiLevelType w:val="hybridMultilevel"/>
    <w:tmpl w:val="5B508D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223F86"/>
    <w:multiLevelType w:val="hybridMultilevel"/>
    <w:tmpl w:val="C0949D12"/>
    <w:lvl w:ilvl="0" w:tplc="56880F3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9187FF8"/>
    <w:multiLevelType w:val="hybridMultilevel"/>
    <w:tmpl w:val="E5F8EF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nsid w:val="6A824568"/>
    <w:multiLevelType w:val="hybridMultilevel"/>
    <w:tmpl w:val="E1344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35424F8"/>
    <w:multiLevelType w:val="hybridMultilevel"/>
    <w:tmpl w:val="821836A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16"/>
  </w:num>
  <w:num w:numId="5">
    <w:abstractNumId w:val="2"/>
  </w:num>
  <w:num w:numId="6">
    <w:abstractNumId w:val="13"/>
  </w:num>
  <w:num w:numId="7">
    <w:abstractNumId w:val="11"/>
  </w:num>
  <w:num w:numId="8">
    <w:abstractNumId w:val="10"/>
  </w:num>
  <w:num w:numId="9">
    <w:abstractNumId w:val="17"/>
  </w:num>
  <w:num w:numId="10">
    <w:abstractNumId w:val="12"/>
  </w:num>
  <w:num w:numId="11">
    <w:abstractNumId w:val="9"/>
  </w:num>
  <w:num w:numId="12">
    <w:abstractNumId w:val="15"/>
  </w:num>
  <w:num w:numId="13">
    <w:abstractNumId w:val="4"/>
  </w:num>
  <w:num w:numId="14">
    <w:abstractNumId w:val="18"/>
  </w:num>
  <w:num w:numId="15">
    <w:abstractNumId w:val="14"/>
  </w:num>
  <w:num w:numId="16">
    <w:abstractNumId w:val="3"/>
  </w:num>
  <w:num w:numId="17">
    <w:abstractNumId w:val="1"/>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04FB6"/>
    <w:rsid w:val="00021423"/>
    <w:rsid w:val="00026058"/>
    <w:rsid w:val="00033329"/>
    <w:rsid w:val="00051994"/>
    <w:rsid w:val="000525E8"/>
    <w:rsid w:val="000543DB"/>
    <w:rsid w:val="00064A56"/>
    <w:rsid w:val="00085583"/>
    <w:rsid w:val="00087825"/>
    <w:rsid w:val="000B12FB"/>
    <w:rsid w:val="000C6E5F"/>
    <w:rsid w:val="000C6FAC"/>
    <w:rsid w:val="001528B5"/>
    <w:rsid w:val="0020014C"/>
    <w:rsid w:val="002260BE"/>
    <w:rsid w:val="00232957"/>
    <w:rsid w:val="0023295F"/>
    <w:rsid w:val="00252743"/>
    <w:rsid w:val="002C36CB"/>
    <w:rsid w:val="00321C6F"/>
    <w:rsid w:val="00340293"/>
    <w:rsid w:val="00344B08"/>
    <w:rsid w:val="00363465"/>
    <w:rsid w:val="00381E76"/>
    <w:rsid w:val="003E6550"/>
    <w:rsid w:val="003E7414"/>
    <w:rsid w:val="00415BCF"/>
    <w:rsid w:val="00445041"/>
    <w:rsid w:val="00452EA6"/>
    <w:rsid w:val="00496D9E"/>
    <w:rsid w:val="004A6F7F"/>
    <w:rsid w:val="004D3FA5"/>
    <w:rsid w:val="00503133"/>
    <w:rsid w:val="0053615A"/>
    <w:rsid w:val="005508CD"/>
    <w:rsid w:val="00582AB3"/>
    <w:rsid w:val="00595614"/>
    <w:rsid w:val="005D4689"/>
    <w:rsid w:val="00605CDF"/>
    <w:rsid w:val="006500B9"/>
    <w:rsid w:val="00701384"/>
    <w:rsid w:val="00703ADE"/>
    <w:rsid w:val="00721B6F"/>
    <w:rsid w:val="00765413"/>
    <w:rsid w:val="00792017"/>
    <w:rsid w:val="00806069"/>
    <w:rsid w:val="008070D2"/>
    <w:rsid w:val="00820B0B"/>
    <w:rsid w:val="008431F5"/>
    <w:rsid w:val="00846C2B"/>
    <w:rsid w:val="008848A1"/>
    <w:rsid w:val="00884B06"/>
    <w:rsid w:val="008C795F"/>
    <w:rsid w:val="008F53CE"/>
    <w:rsid w:val="00901937"/>
    <w:rsid w:val="00912BDD"/>
    <w:rsid w:val="0091343C"/>
    <w:rsid w:val="009413A4"/>
    <w:rsid w:val="00942367"/>
    <w:rsid w:val="00947FE5"/>
    <w:rsid w:val="00954ECD"/>
    <w:rsid w:val="00956CA2"/>
    <w:rsid w:val="00957323"/>
    <w:rsid w:val="00984A9B"/>
    <w:rsid w:val="00A0373A"/>
    <w:rsid w:val="00A077D4"/>
    <w:rsid w:val="00A33B5A"/>
    <w:rsid w:val="00A35A98"/>
    <w:rsid w:val="00A63FD1"/>
    <w:rsid w:val="00A9151E"/>
    <w:rsid w:val="00AA080C"/>
    <w:rsid w:val="00AF1DC2"/>
    <w:rsid w:val="00B13E7F"/>
    <w:rsid w:val="00B6159A"/>
    <w:rsid w:val="00B703E7"/>
    <w:rsid w:val="00B76EB3"/>
    <w:rsid w:val="00B946C8"/>
    <w:rsid w:val="00BB3DF2"/>
    <w:rsid w:val="00BD392A"/>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94684"/>
    <w:rsid w:val="00DB5F1C"/>
    <w:rsid w:val="00DC59A7"/>
    <w:rsid w:val="00DF4633"/>
    <w:rsid w:val="00DF51AD"/>
    <w:rsid w:val="00DF6AAD"/>
    <w:rsid w:val="00E13FCF"/>
    <w:rsid w:val="00E1549F"/>
    <w:rsid w:val="00E35369"/>
    <w:rsid w:val="00E64B1C"/>
    <w:rsid w:val="00E70F6B"/>
    <w:rsid w:val="00E71C49"/>
    <w:rsid w:val="00E82EFB"/>
    <w:rsid w:val="00EB323A"/>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0C6E5F"/>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0C6E5F"/>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75977"/>
    <w:rsid w:val="008E16E7"/>
    <w:rsid w:val="00A4430B"/>
    <w:rsid w:val="00AE3A55"/>
    <w:rsid w:val="00AF4AC2"/>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A1BF5-E105-4394-97F6-59EAD1D8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858</Words>
  <Characters>4721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7</cp:revision>
  <cp:lastPrinted>2013-12-06T17:20:00Z</cp:lastPrinted>
  <dcterms:created xsi:type="dcterms:W3CDTF">2016-04-04T15:55:00Z</dcterms:created>
  <dcterms:modified xsi:type="dcterms:W3CDTF">2016-07-05T17:58:00Z</dcterms:modified>
</cp:coreProperties>
</file>