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3C" w:rsidRPr="000A392C" w:rsidRDefault="00A173B2" w:rsidP="00A173B2">
      <w:pPr>
        <w:pStyle w:val="Ttulo1"/>
        <w:jc w:val="center"/>
        <w:rPr>
          <w:rFonts w:ascii="Arial" w:hAnsi="Arial" w:cs="Arial"/>
          <w:color w:val="auto"/>
        </w:rPr>
      </w:pPr>
      <w:r w:rsidRPr="000A392C">
        <w:rPr>
          <w:rFonts w:ascii="Arial" w:hAnsi="Arial" w:cs="Arial"/>
          <w:bCs w:val="0"/>
          <w:color w:val="auto"/>
        </w:rPr>
        <w:t>Programa Nacional de Inglés</w:t>
      </w:r>
    </w:p>
    <w:tbl>
      <w:tblPr>
        <w:tblStyle w:val="Tablaconcuadrcula"/>
        <w:tblpPr w:leftFromText="141" w:rightFromText="141" w:vertAnchor="page" w:horzAnchor="margin" w:tblpY="2971"/>
        <w:tblW w:w="9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1559"/>
        <w:gridCol w:w="4304"/>
      </w:tblGrid>
      <w:tr w:rsidR="005D5594" w:rsidRPr="00E71C49" w:rsidTr="00DF5EDB">
        <w:trPr>
          <w:trHeight w:val="128"/>
        </w:trPr>
        <w:tc>
          <w:tcPr>
            <w:tcW w:w="9657" w:type="dxa"/>
            <w:gridSpan w:val="4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5D5594" w:rsidRPr="00FE5B73" w:rsidRDefault="005D5594" w:rsidP="005D5594">
            <w:pPr>
              <w:pStyle w:val="Texto"/>
              <w:spacing w:line="240" w:lineRule="auto"/>
              <w:ind w:firstLine="0"/>
              <w:rPr>
                <w:szCs w:val="24"/>
              </w:rPr>
            </w:pPr>
            <w:r w:rsidRPr="00E71C49">
              <w:rPr>
                <w:b/>
                <w:sz w:val="20"/>
              </w:rPr>
              <w:t>OBJETIVO:</w:t>
            </w:r>
            <w:r w:rsidRPr="002347F2">
              <w:rPr>
                <w:szCs w:val="24"/>
              </w:rPr>
              <w:t xml:space="preserve"> </w:t>
            </w:r>
            <w:r w:rsidR="00A173B2">
              <w:rPr>
                <w:szCs w:val="18"/>
              </w:rPr>
              <w:t>Contribuir a asegurar la calidad de los aprendizajes en la educación básica y la formación integral de todos los grupos de la población mediante el fortalecimiento de los procesos de enseñanza y aprendizaje del inglés como una segunda lengua en las escuelas públicas de educación básica, a través del establecimiento de condiciones técnicas y pedagógicas.</w:t>
            </w:r>
          </w:p>
        </w:tc>
      </w:tr>
      <w:tr w:rsidR="005D5594" w:rsidRPr="00E71C49" w:rsidTr="00DF5EDB">
        <w:trPr>
          <w:trHeight w:val="128"/>
        </w:trPr>
        <w:tc>
          <w:tcPr>
            <w:tcW w:w="2235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559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1559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4304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5594" w:rsidRPr="00E71C49" w:rsidRDefault="00DF5EDB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APOYOS FINANCIEROS</w:t>
            </w:r>
          </w:p>
        </w:tc>
      </w:tr>
      <w:tr w:rsidR="005D5594" w:rsidRPr="00E71C49" w:rsidTr="00DF5EDB">
        <w:trPr>
          <w:trHeight w:val="128"/>
        </w:trPr>
        <w:tc>
          <w:tcPr>
            <w:tcW w:w="223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D5594" w:rsidRPr="0031375D" w:rsidRDefault="005D5594" w:rsidP="005D5594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31375D">
              <w:rPr>
                <w:sz w:val="20"/>
              </w:rPr>
              <w:t>Educación</w:t>
            </w:r>
          </w:p>
        </w:tc>
        <w:tc>
          <w:tcPr>
            <w:tcW w:w="155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D5594" w:rsidRPr="0031375D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304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5D5594" w:rsidRPr="00E71C49" w:rsidRDefault="00DF5EDB" w:rsidP="005D55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Los recursos para la operación e implementación del PRONI corresponden al presupuesto autorizado para el ejercicio fiscal 2016; transfiriendo un 97% a las Entidades Federativas y hasta un 3% para gastos de operación central, lo anterior sujetándose a las medidas de responsabilidad fiscal y austeridad emitidos por la SHCP y la SFP.</w:t>
            </w:r>
          </w:p>
        </w:tc>
      </w:tr>
      <w:tr w:rsidR="005D5594" w:rsidRPr="00E71C49" w:rsidTr="00DF5EDB">
        <w:trPr>
          <w:trHeight w:val="128"/>
        </w:trPr>
        <w:tc>
          <w:tcPr>
            <w:tcW w:w="2235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5D5594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F5EDB" w:rsidRPr="00E71C49" w:rsidRDefault="00DF5EDB" w:rsidP="005D5594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5594" w:rsidRPr="00E71C49" w:rsidRDefault="005D5594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3118" w:type="dxa"/>
            <w:gridSpan w:val="2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5D5594" w:rsidRPr="00E71C49" w:rsidRDefault="005D5594" w:rsidP="00DF5EDB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31375D">
              <w:rPr>
                <w:sz w:val="20"/>
              </w:rPr>
              <w:t>POBLACIÓN OBJETIVO</w:t>
            </w:r>
          </w:p>
        </w:tc>
        <w:tc>
          <w:tcPr>
            <w:tcW w:w="4304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5D5594" w:rsidRPr="00E71C49" w:rsidRDefault="005D5594" w:rsidP="005D55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5594" w:rsidRPr="00E71C49" w:rsidRDefault="00DF5EDB" w:rsidP="005D55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TÉCNICOS</w:t>
            </w:r>
          </w:p>
        </w:tc>
      </w:tr>
      <w:tr w:rsidR="00DF5EDB" w:rsidRPr="00E71C49" w:rsidTr="00DF5EDB">
        <w:trPr>
          <w:trHeight w:val="6731"/>
        </w:trPr>
        <w:tc>
          <w:tcPr>
            <w:tcW w:w="223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DF5EDB" w:rsidRPr="00DF5EDB" w:rsidRDefault="00DF5EDB" w:rsidP="005D5594">
            <w:pPr>
              <w:pStyle w:val="Texto"/>
              <w:spacing w:after="94" w:line="220" w:lineRule="exact"/>
              <w:ind w:firstLine="0"/>
              <w:rPr>
                <w:szCs w:val="18"/>
              </w:rPr>
            </w:pPr>
            <w:r w:rsidRPr="00DF5EDB">
              <w:rPr>
                <w:szCs w:val="18"/>
              </w:rPr>
              <w:t>Son las Entidades Federativas que decidan participar voluntariamente y que, a través de sus AEL, focalicen a las escuelas públicas de preescolar, primarias regulares y secundarias generales y técnicas, que impartirán el inglés como segunda lengua, así como el alumnado, docentes y Asesores/as Externos/as Especializados/as que recibirán e impartirán, respectivamente una segunda lengua inglés en dichas escuelas.</w:t>
            </w:r>
          </w:p>
        </w:tc>
        <w:tc>
          <w:tcPr>
            <w:tcW w:w="3118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DF5EDB" w:rsidRPr="00DF5EDB" w:rsidRDefault="00DF5EDB" w:rsidP="005D5594">
            <w:pPr>
              <w:pStyle w:val="Texto"/>
              <w:spacing w:after="94" w:line="220" w:lineRule="exact"/>
              <w:ind w:firstLine="0"/>
              <w:jc w:val="center"/>
              <w:rPr>
                <w:szCs w:val="18"/>
              </w:rPr>
            </w:pPr>
            <w:r w:rsidRPr="00DF5EDB">
              <w:rPr>
                <w:szCs w:val="18"/>
              </w:rPr>
              <w:t>Estudiantes</w:t>
            </w:r>
          </w:p>
        </w:tc>
        <w:tc>
          <w:tcPr>
            <w:tcW w:w="4304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DF5EDB" w:rsidRPr="00DF5EDB" w:rsidRDefault="00DF5EDB" w:rsidP="0073366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9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5ED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Fortalecer las capacidades de gestión de las AEL (planeación, evaluación interna y seguimiento). </w:t>
            </w:r>
          </w:p>
          <w:p w:rsidR="00DF5EDB" w:rsidRPr="00DF5EDB" w:rsidRDefault="00DF5EDB" w:rsidP="0073366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9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5ED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La DGDC proporcionará los recursos requeridos y necesarios de acuerdo a la disponibilidad presupuestaria del PRONI, para la adquisición, producción y distribución de materiales didácticos para la enseñanza-aprendizaje de la segunda lengua, inglés en alumnos y alumnas, docentes y asesores/as externos/as especializados/as. Dichos materiales no deberán incluir imágenes, contenidos o estereotipos sexistas y/o misóginos, así como aquellos que atenten contra los derechos humanos. </w:t>
            </w:r>
          </w:p>
          <w:p w:rsidR="00DF5EDB" w:rsidRPr="00DF5EDB" w:rsidRDefault="00DF5EDB" w:rsidP="0073366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9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5ED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Difundir a las AEL los avances del PRONI, experiencias de trabajo, informes y diversos materiales de apoyo a través de medios electrónicos. </w:t>
            </w:r>
          </w:p>
          <w:p w:rsidR="00DF5EDB" w:rsidRPr="00DF5EDB" w:rsidRDefault="00DF5EDB" w:rsidP="0073366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9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5ED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Promoción de reuniones nacionales, estatales y regionales con las AEL o Coordinadores Locales del PRONI que solicite la SEB o la DGDC. </w:t>
            </w:r>
          </w:p>
          <w:p w:rsidR="00DF5EDB" w:rsidRPr="00DF5EDB" w:rsidRDefault="00DF5EDB" w:rsidP="0073366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5ED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Seguimiento del PRONI para retroalimentar los procesos de mejora que se requieran. </w:t>
            </w:r>
          </w:p>
        </w:tc>
      </w:tr>
    </w:tbl>
    <w:p w:rsidR="00FF763C" w:rsidRDefault="00FF763C" w:rsidP="00635E75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97273E" w:rsidRDefault="0097273E" w:rsidP="00635E75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D35194" w:rsidRPr="000D085E" w:rsidRDefault="00D35194" w:rsidP="000D085E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es-ES"/>
        </w:rPr>
      </w:pPr>
      <w:r w:rsidRPr="000D085E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lastRenderedPageBreak/>
        <w:t>Requisitos</w:t>
      </w:r>
    </w:p>
    <w:p w:rsidR="000A392C" w:rsidRDefault="000A392C" w:rsidP="000A39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D75743" w:rsidTr="00D75743">
        <w:tc>
          <w:tcPr>
            <w:tcW w:w="963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3519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participar en el PRONI, las AEL deberán cumplir con los siguientes requisitos: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a)</w:t>
            </w:r>
            <w:r w:rsidRPr="00D3519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Presentar a la SEB la Carta Compromiso Única, a más tardar el 12 de febrero 2016, de acuerdo a lo establecido en el Anexo 1 de las presentes RO.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b)</w:t>
            </w:r>
            <w:r w:rsidRPr="00D3519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Elaborar la ELDEB de acuerdo a lo establecido en el Anexo 3 de las presentes RO y remitirla a la SEB a más tardar el 15 de febrero del 2016.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c)</w:t>
            </w:r>
            <w:r w:rsidRPr="00D3519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Presentar a la DGDC, a más tardar el 15 de febrero de 2016, el proyecto de POA para la implementación y desarrollo del PRONI de acuerdo a lo establecido en el Anexo 5 de las presentes RO, mismo que deberá considerarse dentro de la ELDEB elaborada de acuerdo a los criterios establecidos en el Anexo 3 de las presentes RO. En el POA se anunciarán las acciones, metas y objetivos con respecto al número de alumnos y alumnas, escuelas, docentes y asesores/as externos/as especializados/as que serán atendidos por el PRONI. El proyecto de POA deberá ser enviado, en formato impreso y electrónico, para su revisión a la DGDC, al domicilio ubicado en Avenida Paseo de la Reforma número 122, 9o. piso, Colonia Juárez, Delegación Cuauhtémoc, Código Postal 06660, en México, D.F., y al correo electrónico programanacionaldeingles@sep.gob.mx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3366A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d)</w:t>
            </w:r>
            <w:r w:rsidRPr="00D3519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Designar al/a la Coordinador/a Local del PRONI a más tardar el 15 de febrero y notificar mediante oficio dicha designación a la DGDC. </w:t>
            </w:r>
          </w:p>
          <w:p w:rsidR="00D75743" w:rsidRPr="00D35194" w:rsidRDefault="00D75743" w:rsidP="0073366A">
            <w:pPr>
              <w:pageBreakBefore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sz w:val="18"/>
                <w:szCs w:val="18"/>
                <w:lang w:val="es-ES"/>
              </w:rPr>
              <w:t>e)</w:t>
            </w:r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>Aperturar</w:t>
            </w:r>
            <w:proofErr w:type="spellEnd"/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 xml:space="preserve"> una cuenta bancaria específica que deberá manejar exclusivamente los recursos federales del ejercicio fiscal 2016 transferidos por el PRONI a más tardar el 15 de febrero, con fundamento en el artículo 69 de la Ley General de Contabilidad Gubernamental.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sz w:val="18"/>
                <w:szCs w:val="18"/>
                <w:lang w:val="es-ES"/>
              </w:rPr>
              <w:t>f)</w:t>
            </w:r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 xml:space="preserve"> Formalizar a más tardar el 31 de marzo 2016 el correspondiente Convenio Marco de Coordinación y para el caso de la AFSEDF los Lineamientos Internos de Coordinación, de acuerdo a lo establecido en el Anexo 2 de las presentes RO. </w:t>
            </w:r>
          </w:p>
          <w:p w:rsidR="00D75743" w:rsidRPr="00D35194" w:rsidRDefault="00D75743" w:rsidP="0073366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3366A">
              <w:rPr>
                <w:rFonts w:ascii="Arial" w:hAnsi="Arial" w:cs="Arial"/>
                <w:b/>
                <w:sz w:val="18"/>
                <w:szCs w:val="18"/>
                <w:lang w:val="es-ES"/>
              </w:rPr>
              <w:t>g)</w:t>
            </w:r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 xml:space="preserve"> Implementar el funcionamiento del CTLEB, de acuerdo a lo establecido en el Anexo 4 de las presentes RO. </w:t>
            </w:r>
          </w:p>
          <w:p w:rsidR="00D75743" w:rsidRPr="00E71C49" w:rsidRDefault="00D75743" w:rsidP="0073366A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73366A">
              <w:rPr>
                <w:rFonts w:ascii="Arial" w:hAnsi="Arial" w:cs="Arial"/>
                <w:b/>
                <w:sz w:val="18"/>
                <w:szCs w:val="18"/>
                <w:lang w:val="es-ES"/>
              </w:rPr>
              <w:t>h)</w:t>
            </w:r>
            <w:r w:rsidRPr="00D35194">
              <w:rPr>
                <w:rFonts w:ascii="Arial" w:hAnsi="Arial" w:cs="Arial"/>
                <w:sz w:val="18"/>
                <w:szCs w:val="18"/>
                <w:lang w:val="es-ES"/>
              </w:rPr>
              <w:t xml:space="preserve"> Elaborar y enviar a la DGDC el padrón de escuelas beneficiarias, que cumplan con los criterios establecidos en el Anexo 6 de las presentes de las RO.</w:t>
            </w:r>
          </w:p>
          <w:p w:rsidR="00D75743" w:rsidRDefault="00D75743" w:rsidP="007336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</w:tbl>
    <w:p w:rsidR="00D75743" w:rsidRPr="00D35194" w:rsidRDefault="00D75743" w:rsidP="000A39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595614" w:rsidRPr="000A392C" w:rsidRDefault="004E38CB" w:rsidP="00FF763C">
      <w:pPr>
        <w:rPr>
          <w:rFonts w:ascii="Arial" w:hAnsi="Arial" w:cs="Arial"/>
          <w:b/>
          <w:szCs w:val="18"/>
        </w:rPr>
      </w:pPr>
      <w:r w:rsidRPr="000A392C">
        <w:rPr>
          <w:rFonts w:ascii="Arial" w:hAnsi="Arial" w:cs="Arial"/>
          <w:b/>
          <w:szCs w:val="18"/>
        </w:rPr>
        <w:t>La siguiente tabla muestra los criterios y rubros del gasto de los apoyos financieros otorgados por la AEL.</w:t>
      </w:r>
    </w:p>
    <w:p w:rsidR="004E38CB" w:rsidRDefault="004E38CB" w:rsidP="00FF763C">
      <w:pPr>
        <w:rPr>
          <w:sz w:val="18"/>
          <w:szCs w:val="18"/>
        </w:rPr>
      </w:pPr>
    </w:p>
    <w:tbl>
      <w:tblPr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4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2171"/>
        <w:gridCol w:w="2172"/>
        <w:gridCol w:w="2171"/>
        <w:gridCol w:w="3076"/>
      </w:tblGrid>
      <w:tr w:rsidR="004E38CB" w:rsidRPr="004E38CB" w:rsidTr="00D75743">
        <w:trPr>
          <w:trHeight w:val="133"/>
        </w:trPr>
        <w:tc>
          <w:tcPr>
            <w:tcW w:w="9590" w:type="dxa"/>
            <w:gridSpan w:val="4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Periodicidad: </w:t>
            </w: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Ejercicio Fiscal 2016</w:t>
            </w:r>
          </w:p>
        </w:tc>
      </w:tr>
      <w:tr w:rsidR="004E38CB" w:rsidRPr="004E38CB" w:rsidTr="00D75743">
        <w:trPr>
          <w:trHeight w:val="133"/>
        </w:trPr>
        <w:tc>
          <w:tcPr>
            <w:tcW w:w="9590" w:type="dxa"/>
            <w:gridSpan w:val="4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538135" w:themeColor="accent6" w:themeShade="BF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Tipo de apoyo: </w:t>
            </w: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Efectivo (Financieros y Técnicos)</w:t>
            </w:r>
          </w:p>
        </w:tc>
      </w:tr>
      <w:tr w:rsidR="004E38CB" w:rsidRPr="004E38CB" w:rsidTr="00D75743">
        <w:trPr>
          <w:trHeight w:val="313"/>
        </w:trPr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Beneficiario </w:t>
            </w:r>
          </w:p>
        </w:tc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Monto o porcentaje </w:t>
            </w:r>
          </w:p>
        </w:tc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Criterio general de gasto </w:t>
            </w:r>
          </w:p>
        </w:tc>
        <w:tc>
          <w:tcPr>
            <w:tcW w:w="3076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 xml:space="preserve">Rubro de gasto </w:t>
            </w:r>
          </w:p>
        </w:tc>
      </w:tr>
      <w:tr w:rsidR="004E38CB" w:rsidRPr="004E38CB" w:rsidTr="00D75743">
        <w:trPr>
          <w:trHeight w:val="492"/>
        </w:trPr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AEL </w:t>
            </w:r>
          </w:p>
        </w:tc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Hasta el 25% </w:t>
            </w:r>
          </w:p>
        </w:tc>
        <w:tc>
          <w:tcPr>
            <w:tcW w:w="2171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Implementación, difusión y evaluación de materiales educativos. </w:t>
            </w:r>
          </w:p>
        </w:tc>
        <w:tc>
          <w:tcPr>
            <w:tcW w:w="3076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Evaluaciones, estudios e investigaciones. </w:t>
            </w:r>
          </w:p>
        </w:tc>
      </w:tr>
      <w:tr w:rsidR="004E38CB" w:rsidRPr="004E38CB" w:rsidTr="00D75743">
        <w:trPr>
          <w:trHeight w:val="1389"/>
        </w:trPr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Docentes y Asesores/as Externos/as Especializados/as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Hasta el 60%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Fortalecimiento académico. </w:t>
            </w:r>
          </w:p>
        </w:tc>
        <w:tc>
          <w:tcPr>
            <w:tcW w:w="307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Certificación internacional, congresos y convenciones, producción de material: electrónico, audiovisual o impreso, compra y reproducción de materiales educativos complementarios. </w:t>
            </w:r>
          </w:p>
        </w:tc>
      </w:tr>
      <w:tr w:rsidR="004E38CB" w:rsidRPr="004E38CB" w:rsidTr="00D75743">
        <w:trPr>
          <w:trHeight w:val="492"/>
        </w:trPr>
        <w:tc>
          <w:tcPr>
            <w:tcW w:w="4343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Asesoría, acompañamiento y seguimiento. </w:t>
            </w:r>
          </w:p>
        </w:tc>
        <w:tc>
          <w:tcPr>
            <w:tcW w:w="5247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Viáticos (hospedaje, alimentación y transporte). </w:t>
            </w:r>
          </w:p>
        </w:tc>
      </w:tr>
      <w:tr w:rsidR="004E38CB" w:rsidRPr="004E38CB" w:rsidTr="00D75743">
        <w:trPr>
          <w:trHeight w:val="492"/>
        </w:trPr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Alumnos y alumnas de escuelas públicas de Educación Básica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Hasta el 60%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Asesoría, acompañamiento y seguimiento. </w:t>
            </w:r>
          </w:p>
        </w:tc>
        <w:tc>
          <w:tcPr>
            <w:tcW w:w="307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Certificaciones internacionales en el dominio del idioma inglés. </w:t>
            </w:r>
          </w:p>
        </w:tc>
      </w:tr>
      <w:tr w:rsidR="004E38CB" w:rsidRPr="004E38CB" w:rsidTr="00D75743">
        <w:trPr>
          <w:trHeight w:val="671"/>
        </w:trPr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lastRenderedPageBreak/>
              <w:t xml:space="preserve">Asesores/as Externos/as Especializados/as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4E38C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Hasta el 80% </w:t>
            </w:r>
          </w:p>
        </w:tc>
        <w:tc>
          <w:tcPr>
            <w:tcW w:w="217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Servicios de Asesores/as Externos/as Especializados/as. </w:t>
            </w:r>
          </w:p>
        </w:tc>
        <w:tc>
          <w:tcPr>
            <w:tcW w:w="307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E38CB" w:rsidRPr="004E38CB" w:rsidRDefault="004E38CB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E38C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Pago para la prestación de servicios del personal externo al Servicio Profesional Docente. </w:t>
            </w:r>
          </w:p>
        </w:tc>
      </w:tr>
    </w:tbl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0A392C" w:rsidRDefault="000A392C" w:rsidP="00FF763C">
      <w:pPr>
        <w:rPr>
          <w:rFonts w:ascii="Arial" w:hAnsi="Arial" w:cs="Arial"/>
          <w:b/>
          <w:sz w:val="20"/>
          <w:szCs w:val="20"/>
        </w:rPr>
      </w:pPr>
    </w:p>
    <w:p w:rsidR="000A392C" w:rsidRDefault="000A392C" w:rsidP="00FF763C">
      <w:pPr>
        <w:rPr>
          <w:rFonts w:ascii="Arial" w:hAnsi="Arial" w:cs="Arial"/>
          <w:b/>
          <w:sz w:val="20"/>
          <w:szCs w:val="20"/>
        </w:rPr>
      </w:pPr>
    </w:p>
    <w:p w:rsidR="000A392C" w:rsidRDefault="000A392C" w:rsidP="00FF763C">
      <w:pPr>
        <w:rPr>
          <w:rFonts w:ascii="Arial" w:hAnsi="Arial" w:cs="Arial"/>
          <w:b/>
          <w:sz w:val="20"/>
          <w:szCs w:val="20"/>
        </w:rPr>
      </w:pPr>
    </w:p>
    <w:p w:rsidR="000A392C" w:rsidRDefault="000A392C" w:rsidP="00FF763C">
      <w:pPr>
        <w:rPr>
          <w:rFonts w:ascii="Arial" w:hAnsi="Arial" w:cs="Arial"/>
          <w:b/>
          <w:sz w:val="20"/>
          <w:szCs w:val="20"/>
        </w:rPr>
      </w:pPr>
    </w:p>
    <w:p w:rsidR="000A392C" w:rsidRPr="000A392C" w:rsidRDefault="000A392C" w:rsidP="000A39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Cs w:val="18"/>
          <w:lang w:val="es-ES"/>
        </w:rPr>
      </w:pPr>
      <w:r w:rsidRPr="000A392C">
        <w:rPr>
          <w:rFonts w:ascii="Arial" w:hAnsi="Arial" w:cs="Arial"/>
          <w:b/>
          <w:bCs/>
          <w:color w:val="000000"/>
          <w:szCs w:val="18"/>
          <w:lang w:val="es-ES"/>
        </w:rPr>
        <w:t>OPERACIÓN</w:t>
      </w:r>
    </w:p>
    <w:p w:rsidR="000A392C" w:rsidRDefault="000A392C" w:rsidP="000A39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Cs w:val="18"/>
          <w:lang w:val="es-ES"/>
        </w:rPr>
      </w:pPr>
      <w:r w:rsidRPr="000A392C">
        <w:rPr>
          <w:rFonts w:ascii="Arial" w:hAnsi="Arial" w:cs="Arial"/>
          <w:b/>
          <w:bCs/>
          <w:color w:val="000000"/>
          <w:szCs w:val="18"/>
          <w:lang w:val="es-ES"/>
        </w:rPr>
        <w:t>Proceso (Anexo 9 Diagrama de flujo</w:t>
      </w:r>
      <w:r w:rsidR="000036A5">
        <w:rPr>
          <w:rFonts w:ascii="Arial" w:hAnsi="Arial" w:cs="Arial"/>
          <w:b/>
          <w:bCs/>
          <w:color w:val="000000"/>
          <w:szCs w:val="18"/>
          <w:lang w:val="es-ES"/>
        </w:rPr>
        <w:t>)</w:t>
      </w:r>
    </w:p>
    <w:p w:rsidR="000A392C" w:rsidRPr="000A392C" w:rsidRDefault="000A392C" w:rsidP="000A39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2268"/>
        <w:gridCol w:w="2127"/>
      </w:tblGrid>
      <w:tr w:rsidR="000A392C" w:rsidRPr="000A392C" w:rsidTr="00D75743">
        <w:trPr>
          <w:trHeight w:val="84"/>
        </w:trPr>
        <w:tc>
          <w:tcPr>
            <w:tcW w:w="266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E599" w:themeFill="accent4" w:themeFillTint="66"/>
          </w:tcPr>
          <w:p w:rsidR="000A392C" w:rsidRPr="000A392C" w:rsidRDefault="000A392C" w:rsidP="00D75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Etapas</w:t>
            </w:r>
          </w:p>
        </w:tc>
        <w:tc>
          <w:tcPr>
            <w:tcW w:w="2551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E599" w:themeFill="accent4" w:themeFillTint="66"/>
          </w:tcPr>
          <w:p w:rsidR="000A392C" w:rsidRPr="000A392C" w:rsidRDefault="000A392C" w:rsidP="00D75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E599" w:themeFill="accent4" w:themeFillTint="66"/>
          </w:tcPr>
          <w:p w:rsidR="000A392C" w:rsidRPr="000A392C" w:rsidRDefault="000A392C" w:rsidP="00D75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Responsables</w:t>
            </w:r>
          </w:p>
        </w:tc>
        <w:tc>
          <w:tcPr>
            <w:tcW w:w="212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E599" w:themeFill="accent4" w:themeFillTint="66"/>
          </w:tcPr>
          <w:p w:rsidR="000A392C" w:rsidRPr="000A392C" w:rsidRDefault="000A392C" w:rsidP="00D75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>Fecha</w:t>
            </w:r>
          </w:p>
        </w:tc>
      </w:tr>
      <w:tr w:rsidR="000A392C" w:rsidRPr="000A392C" w:rsidTr="00D75743">
        <w:trPr>
          <w:trHeight w:val="233"/>
        </w:trPr>
        <w:tc>
          <w:tcPr>
            <w:tcW w:w="2660" w:type="dxa"/>
            <w:tcBorders>
              <w:top w:val="single" w:sz="4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1. Entrega de Carta Compromiso Única </w:t>
            </w:r>
          </w:p>
        </w:tc>
        <w:tc>
          <w:tcPr>
            <w:tcW w:w="2551" w:type="dxa"/>
            <w:tcBorders>
              <w:top w:val="single" w:sz="4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Presentar a la SEB la Carta Compromiso Única. </w:t>
            </w:r>
          </w:p>
        </w:tc>
        <w:tc>
          <w:tcPr>
            <w:tcW w:w="2268" w:type="dxa"/>
            <w:tcBorders>
              <w:top w:val="single" w:sz="4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 </w:t>
            </w:r>
          </w:p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CTLEB </w:t>
            </w:r>
          </w:p>
        </w:tc>
        <w:tc>
          <w:tcPr>
            <w:tcW w:w="2127" w:type="dxa"/>
            <w:tcBorders>
              <w:top w:val="single" w:sz="4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12/2/16 </w:t>
            </w:r>
          </w:p>
        </w:tc>
      </w:tr>
      <w:tr w:rsidR="000A392C" w:rsidRPr="000A392C" w:rsidTr="00D75743">
        <w:trPr>
          <w:trHeight w:val="232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2. Entrega de la ELDEB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Formulación y entrega a la SEB de la ELDEB.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AEL/CTLEB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15/2/16 </w:t>
            </w:r>
          </w:p>
        </w:tc>
      </w:tr>
      <w:tr w:rsidR="000A392C" w:rsidRPr="000A392C" w:rsidTr="00D75743">
        <w:trPr>
          <w:trHeight w:val="516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3. Entrega del proyecto de POA, así como su incorporación a la ELDEB misma que será remitida a la SEB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Elaboración y entrega del proyecto de POA a la DGDC.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AEL/Coordinador Local del PRONI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15/2/16 </w:t>
            </w:r>
          </w:p>
        </w:tc>
      </w:tr>
      <w:tr w:rsidR="000A392C" w:rsidRPr="000A392C" w:rsidTr="00D75743">
        <w:trPr>
          <w:trHeight w:val="408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4. Revisión y emisión de opinión del proyecto de POA, en el marco de la ELDEB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Revisión del proyecto de POA y emisión de comentarios.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DGDC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15/3/16 </w:t>
            </w:r>
          </w:p>
        </w:tc>
      </w:tr>
      <w:tr w:rsidR="000A392C" w:rsidRPr="000A392C" w:rsidTr="00D75743">
        <w:trPr>
          <w:trHeight w:val="516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5. Formalización del Convenio Marco de Coordinación/ Lineamientos Internos de Coordinación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Firma y entrega a la SEB del Convenio Marco de Coordinación/ Lineamientos Internos de Coordinación.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AEL/SEB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31/3/16 </w:t>
            </w:r>
          </w:p>
        </w:tc>
      </w:tr>
      <w:tr w:rsidR="000A392C" w:rsidRPr="000A392C" w:rsidTr="00D75743">
        <w:trPr>
          <w:trHeight w:val="300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6. Transferencia de recursos financieros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Transferencia a las AEL de acuerdo a la disponibilidad.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DGDC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De acuerdo a la disponibilidad presupuestaria </w:t>
            </w:r>
          </w:p>
        </w:tc>
      </w:tr>
      <w:tr w:rsidR="000A392C" w:rsidRPr="000A392C" w:rsidTr="00D75743">
        <w:trPr>
          <w:trHeight w:val="636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7. Acompañamiento, seguimiento y asistencia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Seguimiento asistencia y acompañamiento al PRONI.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AEL/CTLEB </w:t>
            </w:r>
          </w:p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/DGDC </w:t>
            </w:r>
          </w:p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Coordinador Local del PRONI </w:t>
            </w:r>
          </w:p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.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Permanente </w:t>
            </w:r>
          </w:p>
        </w:tc>
      </w:tr>
      <w:tr w:rsidR="000A392C" w:rsidRPr="000A392C" w:rsidTr="00D75743">
        <w:trPr>
          <w:trHeight w:val="516"/>
        </w:trPr>
        <w:tc>
          <w:tcPr>
            <w:tcW w:w="266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8. Evaluación </w:t>
            </w:r>
          </w:p>
        </w:tc>
        <w:tc>
          <w:tcPr>
            <w:tcW w:w="25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733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 nivel nacional el PRONI será evaluado por CONEVAL de acuerdo a lo establecido en el Programa Anual de Evaluación 2016. </w:t>
            </w:r>
          </w:p>
        </w:tc>
        <w:tc>
          <w:tcPr>
            <w:tcW w:w="226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CONEVAL </w:t>
            </w:r>
          </w:p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INEE </w:t>
            </w:r>
          </w:p>
        </w:tc>
        <w:tc>
          <w:tcPr>
            <w:tcW w:w="21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0A392C" w:rsidRPr="000A392C" w:rsidRDefault="000A392C" w:rsidP="000A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0A392C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Anual </w:t>
            </w:r>
          </w:p>
        </w:tc>
      </w:tr>
    </w:tbl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D60552" w:rsidRDefault="00D60552" w:rsidP="00FF763C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4E38CB" w:rsidRDefault="004E38CB" w:rsidP="00FF763C">
      <w:pPr>
        <w:rPr>
          <w:rFonts w:ascii="Arial" w:hAnsi="Arial" w:cs="Arial"/>
          <w:b/>
          <w:sz w:val="20"/>
          <w:szCs w:val="20"/>
        </w:rPr>
      </w:pPr>
    </w:p>
    <w:p w:rsidR="004E38CB" w:rsidRDefault="004E38CB" w:rsidP="004E38CB">
      <w:pPr>
        <w:pStyle w:val="Default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ANEXO 9</w:t>
      </w:r>
    </w:p>
    <w:p w:rsidR="004E38CB" w:rsidRDefault="004E38CB" w:rsidP="004E38CB">
      <w:pPr>
        <w:pStyle w:val="Defaul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DIAGRAMA DE FLUJO</w:t>
      </w:r>
    </w:p>
    <w:p w:rsidR="005D5594" w:rsidRDefault="004E38CB" w:rsidP="004E38CB">
      <w:pPr>
        <w:jc w:val="center"/>
        <w:rPr>
          <w:noProof/>
          <w:lang w:val="es-ES" w:eastAsia="es-ES"/>
        </w:rPr>
      </w:pPr>
      <w:r>
        <w:rPr>
          <w:rFonts w:ascii="Arial" w:hAnsi="Arial" w:cs="Arial"/>
          <w:b/>
          <w:bCs/>
          <w:sz w:val="18"/>
          <w:szCs w:val="18"/>
        </w:rPr>
        <w:t>_________________________________</w:t>
      </w:r>
      <w:r>
        <w:rPr>
          <w:noProof/>
          <w:lang w:val="es-ES" w:eastAsia="es-ES"/>
        </w:rPr>
        <w:drawing>
          <wp:inline distT="0" distB="0" distL="0" distR="0" wp14:anchorId="527BCF31" wp14:editId="72C87772">
            <wp:extent cx="6230678" cy="69962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98" t="13744" r="16512" b="5114"/>
                    <a:stretch/>
                  </pic:blipFill>
                  <pic:spPr bwMode="auto">
                    <a:xfrm>
                      <a:off x="0" y="0"/>
                      <a:ext cx="6230678" cy="699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B73" w:rsidRPr="00FE5B73" w:rsidRDefault="00FE5B73" w:rsidP="00FE5B73">
      <w:pPr>
        <w:tabs>
          <w:tab w:val="left" w:pos="7590"/>
        </w:tabs>
        <w:rPr>
          <w:lang w:val="es-ES" w:eastAsia="es-ES"/>
        </w:rPr>
      </w:pPr>
    </w:p>
    <w:sectPr w:rsidR="00FE5B73" w:rsidRPr="00FE5B73" w:rsidSect="00D75743">
      <w:headerReference w:type="default" r:id="rId10"/>
      <w:footerReference w:type="default" r:id="rId11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BE" w:rsidRDefault="002260BE" w:rsidP="00FF763C">
      <w:pPr>
        <w:spacing w:after="0" w:line="240" w:lineRule="auto"/>
      </w:pPr>
      <w:r>
        <w:separator/>
      </w:r>
    </w:p>
  </w:endnote>
  <w:end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8755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5262D4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D60552" w:rsidRPr="00D60552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0D085E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0D085E">
            <w:t>6</w:t>
          </w:r>
          <w:r>
            <w:t xml:space="preserve">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BE" w:rsidRDefault="002260BE" w:rsidP="00FF763C">
      <w:pPr>
        <w:spacing w:after="0" w:line="240" w:lineRule="auto"/>
      </w:pPr>
      <w:r>
        <w:separator/>
      </w:r>
    </w:p>
  </w:footnote>
  <w:foot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D60552">
    <w:pPr>
      <w:pStyle w:val="Encabezado"/>
    </w:pPr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-723811</wp:posOffset>
          </wp:positionH>
          <wp:positionV relativeFrom="paragraph">
            <wp:posOffset>-300990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F5146B1"/>
    <w:multiLevelType w:val="hybridMultilevel"/>
    <w:tmpl w:val="79F62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AB3"/>
    <w:rsid w:val="00000358"/>
    <w:rsid w:val="00001893"/>
    <w:rsid w:val="00002645"/>
    <w:rsid w:val="000036A5"/>
    <w:rsid w:val="00021423"/>
    <w:rsid w:val="00026058"/>
    <w:rsid w:val="00051994"/>
    <w:rsid w:val="000525E8"/>
    <w:rsid w:val="00064A56"/>
    <w:rsid w:val="00085583"/>
    <w:rsid w:val="00087825"/>
    <w:rsid w:val="000A392C"/>
    <w:rsid w:val="000B0D77"/>
    <w:rsid w:val="000D085E"/>
    <w:rsid w:val="001528B5"/>
    <w:rsid w:val="0020014C"/>
    <w:rsid w:val="002260BE"/>
    <w:rsid w:val="00232957"/>
    <w:rsid w:val="0023295F"/>
    <w:rsid w:val="00252743"/>
    <w:rsid w:val="002C36CB"/>
    <w:rsid w:val="00321C6F"/>
    <w:rsid w:val="00340293"/>
    <w:rsid w:val="00344B08"/>
    <w:rsid w:val="00363465"/>
    <w:rsid w:val="00377F4A"/>
    <w:rsid w:val="00381E76"/>
    <w:rsid w:val="003E6550"/>
    <w:rsid w:val="003E7414"/>
    <w:rsid w:val="00415BCF"/>
    <w:rsid w:val="00452EA6"/>
    <w:rsid w:val="00496D9E"/>
    <w:rsid w:val="004A6F7F"/>
    <w:rsid w:val="004D3FA5"/>
    <w:rsid w:val="004E38CB"/>
    <w:rsid w:val="004F5491"/>
    <w:rsid w:val="00503133"/>
    <w:rsid w:val="005262D4"/>
    <w:rsid w:val="0053615A"/>
    <w:rsid w:val="005508CD"/>
    <w:rsid w:val="00567DAA"/>
    <w:rsid w:val="00582AB3"/>
    <w:rsid w:val="00595614"/>
    <w:rsid w:val="005D4689"/>
    <w:rsid w:val="005D5594"/>
    <w:rsid w:val="00605CDF"/>
    <w:rsid w:val="00635E75"/>
    <w:rsid w:val="00701384"/>
    <w:rsid w:val="00703ADE"/>
    <w:rsid w:val="00721B6F"/>
    <w:rsid w:val="0073366A"/>
    <w:rsid w:val="00806069"/>
    <w:rsid w:val="008070D2"/>
    <w:rsid w:val="00820B0B"/>
    <w:rsid w:val="008848A1"/>
    <w:rsid w:val="00884B06"/>
    <w:rsid w:val="008A1541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7273E"/>
    <w:rsid w:val="00984A9B"/>
    <w:rsid w:val="00A173B2"/>
    <w:rsid w:val="00A33B5A"/>
    <w:rsid w:val="00A35A98"/>
    <w:rsid w:val="00A9151E"/>
    <w:rsid w:val="00AA080C"/>
    <w:rsid w:val="00B13E7F"/>
    <w:rsid w:val="00B6159A"/>
    <w:rsid w:val="00B703E7"/>
    <w:rsid w:val="00BB3DF2"/>
    <w:rsid w:val="00BB7833"/>
    <w:rsid w:val="00BD7EE9"/>
    <w:rsid w:val="00BF53A1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34997"/>
    <w:rsid w:val="00D35194"/>
    <w:rsid w:val="00D35C09"/>
    <w:rsid w:val="00D51245"/>
    <w:rsid w:val="00D546F2"/>
    <w:rsid w:val="00D60552"/>
    <w:rsid w:val="00D75743"/>
    <w:rsid w:val="00D904A7"/>
    <w:rsid w:val="00DC59A7"/>
    <w:rsid w:val="00DF4633"/>
    <w:rsid w:val="00DF5EDB"/>
    <w:rsid w:val="00DF6AAD"/>
    <w:rsid w:val="00E13FCF"/>
    <w:rsid w:val="00E1549F"/>
    <w:rsid w:val="00E35369"/>
    <w:rsid w:val="00E37864"/>
    <w:rsid w:val="00E70F6B"/>
    <w:rsid w:val="00E71C49"/>
    <w:rsid w:val="00E82EFB"/>
    <w:rsid w:val="00EA68A9"/>
    <w:rsid w:val="00EB323A"/>
    <w:rsid w:val="00ED5F79"/>
    <w:rsid w:val="00F26848"/>
    <w:rsid w:val="00F81996"/>
    <w:rsid w:val="00F92A19"/>
    <w:rsid w:val="00FB479E"/>
    <w:rsid w:val="00FE5B73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A1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  <w:rsid w:val="00E0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492EA-E55A-48B0-B1B6-A0B5398C3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1063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10</cp:revision>
  <cp:lastPrinted>2013-12-06T17:20:00Z</cp:lastPrinted>
  <dcterms:created xsi:type="dcterms:W3CDTF">2016-01-29T12:44:00Z</dcterms:created>
  <dcterms:modified xsi:type="dcterms:W3CDTF">2016-07-05T17:25:00Z</dcterms:modified>
</cp:coreProperties>
</file>