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30" w:rsidRDefault="00456A30" w:rsidP="00456A30">
      <w:pPr>
        <w:spacing w:after="0" w:line="240" w:lineRule="auto"/>
        <w:jc w:val="center"/>
        <w:rPr>
          <w:rFonts w:ascii="Arial" w:hAnsi="Arial" w:cs="Arial"/>
          <w:b/>
          <w:color w:val="76923C"/>
          <w:sz w:val="16"/>
          <w:szCs w:val="16"/>
        </w:rPr>
      </w:pPr>
      <w:r>
        <w:rPr>
          <w:rFonts w:ascii="Arial" w:hAnsi="Arial" w:cs="Arial"/>
          <w:b/>
          <w:color w:val="76923C"/>
          <w:sz w:val="16"/>
          <w:szCs w:val="16"/>
        </w:rPr>
        <w:t>Acuerdo</w:t>
      </w:r>
      <w:r>
        <w:rPr>
          <w:rFonts w:ascii="Arial" w:hAnsi="Arial" w:cs="Arial"/>
          <w:b/>
          <w:color w:val="76923C"/>
          <w:sz w:val="16"/>
          <w:szCs w:val="16"/>
        </w:rPr>
        <w:t xml:space="preserve"> publicado el </w:t>
      </w:r>
      <w:r>
        <w:rPr>
          <w:rFonts w:ascii="Arial" w:hAnsi="Arial" w:cs="Arial"/>
          <w:b/>
          <w:color w:val="76923C"/>
          <w:sz w:val="16"/>
          <w:szCs w:val="16"/>
        </w:rPr>
        <w:t>4</w:t>
      </w:r>
      <w:r>
        <w:rPr>
          <w:rFonts w:ascii="Arial" w:hAnsi="Arial" w:cs="Arial"/>
          <w:b/>
          <w:color w:val="76923C"/>
          <w:sz w:val="16"/>
          <w:szCs w:val="16"/>
        </w:rPr>
        <w:t>-</w:t>
      </w:r>
      <w:r>
        <w:rPr>
          <w:rFonts w:ascii="Arial" w:hAnsi="Arial" w:cs="Arial"/>
          <w:b/>
          <w:color w:val="76923C"/>
          <w:sz w:val="16"/>
          <w:szCs w:val="16"/>
        </w:rPr>
        <w:t>03-2017</w:t>
      </w:r>
    </w:p>
    <w:p w:rsidR="00456A30" w:rsidRDefault="00456A30" w:rsidP="00456A30">
      <w:pPr>
        <w:spacing w:after="0" w:line="240" w:lineRule="auto"/>
        <w:jc w:val="center"/>
        <w:rPr>
          <w:rFonts w:ascii="Arial" w:hAnsi="Arial" w:cs="Arial"/>
          <w:b/>
          <w:sz w:val="16"/>
          <w:szCs w:val="16"/>
        </w:rPr>
      </w:pPr>
    </w:p>
    <w:p w:rsidR="00456A30" w:rsidRDefault="00456A30" w:rsidP="00456A30">
      <w:pPr>
        <w:spacing w:after="0" w:line="240" w:lineRule="auto"/>
        <w:jc w:val="center"/>
        <w:rPr>
          <w:rFonts w:ascii="Arial" w:hAnsi="Arial" w:cs="Arial"/>
          <w:b/>
          <w:sz w:val="16"/>
          <w:szCs w:val="16"/>
        </w:rPr>
      </w:pPr>
      <w:r>
        <w:rPr>
          <w:rFonts w:ascii="Arial" w:hAnsi="Arial" w:cs="Arial"/>
          <w:b/>
          <w:sz w:val="16"/>
          <w:szCs w:val="16"/>
        </w:rPr>
        <w:t>TEXTO VIGENTE</w:t>
      </w:r>
    </w:p>
    <w:p w:rsidR="00456A30" w:rsidRDefault="00456A30" w:rsidP="00456A30">
      <w:pPr>
        <w:spacing w:after="0" w:line="240" w:lineRule="auto"/>
        <w:jc w:val="center"/>
        <w:rPr>
          <w:rFonts w:ascii="Arial" w:hAnsi="Arial" w:cs="Arial"/>
          <w:b/>
          <w:color w:val="FF0000"/>
          <w:sz w:val="16"/>
          <w:szCs w:val="16"/>
        </w:rPr>
      </w:pPr>
      <w:r>
        <w:rPr>
          <w:rFonts w:ascii="Arial" w:hAnsi="Arial" w:cs="Arial"/>
          <w:b/>
          <w:color w:val="FF0000"/>
          <w:sz w:val="16"/>
          <w:szCs w:val="16"/>
        </w:rPr>
        <w:t>Sin reformas</w:t>
      </w:r>
    </w:p>
    <w:p w:rsidR="00456A30" w:rsidRDefault="00456A30" w:rsidP="003F7189">
      <w:pPr>
        <w:spacing w:after="0" w:line="240" w:lineRule="auto"/>
        <w:jc w:val="both"/>
        <w:rPr>
          <w:rFonts w:ascii="Arial" w:hAnsi="Arial" w:cs="Arial"/>
          <w:sz w:val="19"/>
          <w:szCs w:val="19"/>
        </w:rPr>
      </w:pPr>
    </w:p>
    <w:p w:rsidR="003F7189" w:rsidRPr="00456A30" w:rsidRDefault="003F7189" w:rsidP="003F7189">
      <w:pPr>
        <w:spacing w:after="0" w:line="240" w:lineRule="auto"/>
        <w:jc w:val="both"/>
        <w:rPr>
          <w:rFonts w:ascii="Arial" w:hAnsi="Arial" w:cs="Arial"/>
          <w:sz w:val="19"/>
          <w:szCs w:val="19"/>
        </w:rPr>
      </w:pPr>
      <w:r w:rsidRPr="00456A30">
        <w:rPr>
          <w:rFonts w:ascii="Arial" w:hAnsi="Arial" w:cs="Arial"/>
          <w:sz w:val="19"/>
          <w:szCs w:val="19"/>
        </w:rPr>
        <w:t>Con fundamento en los artículos 1, 2, 82, 90</w:t>
      </w:r>
      <w:r w:rsidR="00120BAE" w:rsidRPr="00456A30">
        <w:rPr>
          <w:rFonts w:ascii="Arial" w:hAnsi="Arial" w:cs="Arial"/>
          <w:sz w:val="19"/>
          <w:szCs w:val="19"/>
        </w:rPr>
        <w:t xml:space="preserve"> fracción II</w:t>
      </w:r>
      <w:r w:rsidRPr="00456A30">
        <w:rPr>
          <w:rFonts w:ascii="Arial" w:hAnsi="Arial" w:cs="Arial"/>
          <w:sz w:val="19"/>
          <w:szCs w:val="19"/>
        </w:rPr>
        <w:t xml:space="preserve"> de la Constitución Política del Estado Libre y Soberano de Oaxaca; 1, 3 fracción I, </w:t>
      </w:r>
      <w:r w:rsidR="00120BAE" w:rsidRPr="00456A30">
        <w:rPr>
          <w:rFonts w:ascii="Arial" w:hAnsi="Arial" w:cs="Arial"/>
          <w:sz w:val="19"/>
          <w:szCs w:val="19"/>
        </w:rPr>
        <w:t xml:space="preserve">6, </w:t>
      </w:r>
      <w:r w:rsidRPr="00456A30">
        <w:rPr>
          <w:rFonts w:ascii="Arial" w:hAnsi="Arial" w:cs="Arial"/>
          <w:sz w:val="19"/>
          <w:szCs w:val="19"/>
        </w:rPr>
        <w:t xml:space="preserve">26, 27 fracción XII, 45 fracciones I, XI y XXX, de la Ley Orgánica del Poder Ejecutivo del Estado de Oaxaca; 1, 5 fracción VIII, y 7 fracción </w:t>
      </w:r>
      <w:r w:rsidR="00466FC4" w:rsidRPr="00456A30">
        <w:rPr>
          <w:rFonts w:ascii="Arial" w:hAnsi="Arial" w:cs="Arial"/>
          <w:sz w:val="19"/>
          <w:szCs w:val="19"/>
        </w:rPr>
        <w:t>I</w:t>
      </w:r>
      <w:r w:rsidRPr="00456A30">
        <w:rPr>
          <w:rFonts w:ascii="Arial" w:hAnsi="Arial" w:cs="Arial"/>
          <w:sz w:val="19"/>
          <w:szCs w:val="19"/>
        </w:rPr>
        <w:t xml:space="preserve">II, </w:t>
      </w:r>
      <w:r w:rsidR="00D170EC" w:rsidRPr="00456A30">
        <w:rPr>
          <w:rFonts w:ascii="Arial" w:hAnsi="Arial" w:cs="Arial"/>
          <w:sz w:val="19"/>
          <w:szCs w:val="19"/>
        </w:rPr>
        <w:t xml:space="preserve">93 fracción III, </w:t>
      </w:r>
      <w:r w:rsidRPr="00456A30">
        <w:rPr>
          <w:rFonts w:ascii="Arial" w:hAnsi="Arial" w:cs="Arial"/>
          <w:sz w:val="19"/>
          <w:szCs w:val="19"/>
        </w:rPr>
        <w:t>del Código Fiscal para el Estado de Oaxaca</w:t>
      </w:r>
      <w:r w:rsidR="00D170EC" w:rsidRPr="00456A30">
        <w:rPr>
          <w:rFonts w:ascii="Arial" w:hAnsi="Arial" w:cs="Arial"/>
          <w:sz w:val="19"/>
          <w:szCs w:val="19"/>
        </w:rPr>
        <w:t>;</w:t>
      </w:r>
      <w:r w:rsidRPr="00456A30">
        <w:rPr>
          <w:rFonts w:ascii="Arial" w:hAnsi="Arial" w:cs="Arial"/>
          <w:sz w:val="19"/>
          <w:szCs w:val="19"/>
        </w:rPr>
        <w:t xml:space="preserve"> 1, 2, 4 fracción </w:t>
      </w:r>
      <w:r w:rsidR="008E04D7" w:rsidRPr="00456A30">
        <w:rPr>
          <w:rFonts w:ascii="Arial" w:hAnsi="Arial" w:cs="Arial"/>
          <w:sz w:val="19"/>
          <w:szCs w:val="19"/>
        </w:rPr>
        <w:t>II</w:t>
      </w:r>
      <w:r w:rsidRPr="00456A30">
        <w:rPr>
          <w:rFonts w:ascii="Arial" w:hAnsi="Arial" w:cs="Arial"/>
          <w:sz w:val="19"/>
          <w:szCs w:val="19"/>
        </w:rPr>
        <w:t xml:space="preserve">I, 5, </w:t>
      </w:r>
      <w:r w:rsidR="008E04D7" w:rsidRPr="00456A30">
        <w:rPr>
          <w:rFonts w:ascii="Arial" w:hAnsi="Arial" w:cs="Arial"/>
          <w:sz w:val="19"/>
          <w:szCs w:val="19"/>
        </w:rPr>
        <w:t>27 fracción VIII</w:t>
      </w:r>
      <w:r w:rsidRPr="00456A30">
        <w:rPr>
          <w:rFonts w:ascii="Arial" w:hAnsi="Arial" w:cs="Arial"/>
          <w:sz w:val="19"/>
          <w:szCs w:val="19"/>
        </w:rPr>
        <w:t xml:space="preserve"> del Reglamento Interno de la Secretaría de Finanzas del Poder Ejecutivo del Estado, y </w:t>
      </w:r>
    </w:p>
    <w:p w:rsidR="003F7189" w:rsidRPr="00456A30" w:rsidRDefault="003F7189" w:rsidP="003F7189">
      <w:pPr>
        <w:pStyle w:val="Sinespaciado"/>
        <w:jc w:val="center"/>
        <w:rPr>
          <w:rFonts w:ascii="Arial" w:hAnsi="Arial" w:cs="Arial"/>
          <w:b/>
          <w:sz w:val="19"/>
          <w:szCs w:val="19"/>
        </w:rPr>
      </w:pPr>
    </w:p>
    <w:p w:rsidR="003F7189" w:rsidRPr="00456A30" w:rsidRDefault="003F7189" w:rsidP="003F7189">
      <w:pPr>
        <w:pStyle w:val="Sinespaciado"/>
        <w:jc w:val="center"/>
        <w:rPr>
          <w:rFonts w:ascii="Arial" w:hAnsi="Arial" w:cs="Arial"/>
          <w:b/>
          <w:sz w:val="19"/>
          <w:szCs w:val="19"/>
          <w:lang w:val="es-ES"/>
        </w:rPr>
      </w:pPr>
      <w:r w:rsidRPr="00456A30">
        <w:rPr>
          <w:rFonts w:ascii="Arial" w:hAnsi="Arial" w:cs="Arial"/>
          <w:b/>
          <w:sz w:val="19"/>
          <w:szCs w:val="19"/>
          <w:lang w:val="es-ES"/>
        </w:rPr>
        <w:t>CONSIDERANDO</w:t>
      </w:r>
    </w:p>
    <w:p w:rsidR="008828A8" w:rsidRPr="00456A30" w:rsidRDefault="008828A8" w:rsidP="008828A8">
      <w:pPr>
        <w:pStyle w:val="Sinespaciado"/>
        <w:jc w:val="center"/>
        <w:rPr>
          <w:rFonts w:ascii="Arial" w:hAnsi="Arial" w:cs="Arial"/>
          <w:b/>
          <w:sz w:val="19"/>
          <w:szCs w:val="19"/>
        </w:rPr>
      </w:pPr>
    </w:p>
    <w:p w:rsidR="00D20B4D" w:rsidRPr="00456A30" w:rsidRDefault="00D20B4D" w:rsidP="00D20B4D">
      <w:pPr>
        <w:pStyle w:val="Default"/>
        <w:jc w:val="both"/>
        <w:rPr>
          <w:rFonts w:ascii="Arial" w:hAnsi="Arial" w:cs="Arial"/>
          <w:sz w:val="19"/>
          <w:szCs w:val="19"/>
        </w:rPr>
      </w:pPr>
      <w:r w:rsidRPr="00456A30">
        <w:rPr>
          <w:rFonts w:ascii="Arial" w:hAnsi="Arial" w:cs="Arial"/>
          <w:sz w:val="19"/>
          <w:szCs w:val="19"/>
        </w:rPr>
        <w:t xml:space="preserve">Que </w:t>
      </w:r>
      <w:r w:rsidR="00BB7478" w:rsidRPr="00456A30">
        <w:rPr>
          <w:rFonts w:ascii="Arial" w:hAnsi="Arial" w:cs="Arial"/>
          <w:sz w:val="19"/>
          <w:szCs w:val="19"/>
        </w:rPr>
        <w:t>el Plan Nacional de Desarrollo 2013 – 2018 establece como una de las metas nacionales lograr un México con educación de calidad. Para ello se ubica a la escuela en el centro de la política nacional, reconociendo que existen condiciones que generan inequidad en el servicio educativo.</w:t>
      </w:r>
    </w:p>
    <w:p w:rsidR="00BB7478" w:rsidRPr="00456A30" w:rsidRDefault="00BB7478" w:rsidP="00D20B4D">
      <w:pPr>
        <w:pStyle w:val="Default"/>
        <w:jc w:val="both"/>
        <w:rPr>
          <w:rFonts w:ascii="Arial" w:hAnsi="Arial" w:cs="Arial"/>
          <w:sz w:val="19"/>
          <w:szCs w:val="19"/>
        </w:rPr>
      </w:pPr>
    </w:p>
    <w:p w:rsidR="00BB7478" w:rsidRPr="00456A30" w:rsidRDefault="00BB7478" w:rsidP="00D20B4D">
      <w:pPr>
        <w:pStyle w:val="Default"/>
        <w:jc w:val="both"/>
        <w:rPr>
          <w:rFonts w:ascii="Arial" w:hAnsi="Arial" w:cs="Arial"/>
          <w:sz w:val="19"/>
          <w:szCs w:val="19"/>
        </w:rPr>
      </w:pPr>
      <w:r w:rsidRPr="00456A30">
        <w:rPr>
          <w:rFonts w:ascii="Arial" w:hAnsi="Arial" w:cs="Arial"/>
          <w:sz w:val="19"/>
          <w:szCs w:val="19"/>
        </w:rPr>
        <w:t>El resultado del análisis de la problemática del rezago y abandono escolar identifica como una de las causas relevantes de abandono escolar, que las escuelas no cuentan con condiciones de infraestructura, mobiliario y equipamiento adecuados que permitan el desarrollo exitoso de las actividades educativas.</w:t>
      </w:r>
    </w:p>
    <w:p w:rsidR="00BB7478" w:rsidRPr="00456A30" w:rsidRDefault="00BB7478" w:rsidP="00D20B4D">
      <w:pPr>
        <w:pStyle w:val="Default"/>
        <w:jc w:val="both"/>
        <w:rPr>
          <w:rFonts w:ascii="Arial" w:hAnsi="Arial" w:cs="Arial"/>
          <w:sz w:val="19"/>
          <w:szCs w:val="19"/>
        </w:rPr>
      </w:pPr>
    </w:p>
    <w:p w:rsidR="00BB7478" w:rsidRPr="00456A30" w:rsidRDefault="00BB7478" w:rsidP="00D20B4D">
      <w:pPr>
        <w:pStyle w:val="Default"/>
        <w:jc w:val="both"/>
        <w:rPr>
          <w:rFonts w:ascii="Arial" w:hAnsi="Arial" w:cs="Arial"/>
          <w:sz w:val="19"/>
          <w:szCs w:val="19"/>
        </w:rPr>
      </w:pPr>
      <w:r w:rsidRPr="00456A30">
        <w:rPr>
          <w:rFonts w:ascii="Arial" w:hAnsi="Arial" w:cs="Arial"/>
          <w:sz w:val="19"/>
          <w:szCs w:val="19"/>
        </w:rPr>
        <w:t>Los datos del censo realizado por el Instituto Nacional de Estadística y Geografía, señala que el 26 por ciento de los inmuebles escolares de educación pública básica en el país no se construyeron con fines educativos, y el 2 por ciento de los inmuebles están construidos con materiales ligeros y precarios.</w:t>
      </w:r>
    </w:p>
    <w:p w:rsidR="00BB7478" w:rsidRPr="00456A30" w:rsidRDefault="00BB7478" w:rsidP="00D20B4D">
      <w:pPr>
        <w:pStyle w:val="Default"/>
        <w:jc w:val="both"/>
        <w:rPr>
          <w:rFonts w:ascii="Arial" w:hAnsi="Arial" w:cs="Arial"/>
          <w:sz w:val="19"/>
          <w:szCs w:val="19"/>
        </w:rPr>
      </w:pPr>
    </w:p>
    <w:p w:rsidR="00BB7478" w:rsidRPr="00456A30" w:rsidRDefault="000023D4" w:rsidP="00D20B4D">
      <w:pPr>
        <w:pStyle w:val="Default"/>
        <w:jc w:val="both"/>
        <w:rPr>
          <w:rFonts w:ascii="Arial" w:hAnsi="Arial" w:cs="Arial"/>
          <w:sz w:val="19"/>
          <w:szCs w:val="19"/>
        </w:rPr>
      </w:pPr>
      <w:r w:rsidRPr="00456A30">
        <w:rPr>
          <w:rFonts w:ascii="Arial" w:hAnsi="Arial" w:cs="Arial"/>
          <w:sz w:val="19"/>
          <w:szCs w:val="19"/>
        </w:rPr>
        <w:t xml:space="preserve">Derivado de lo anterior el Gobierno Estatal suscribió el Convenio de Coordinación y Colaboración para la potenciación de recursos del Fondo de Aportaciones Múltiples previstos en la Ley de Coordinación Fiscal, con el objeto de destinar los recursos netos a la realización de obras destinados al sector educativo. </w:t>
      </w:r>
    </w:p>
    <w:p w:rsidR="00BB7478" w:rsidRPr="00456A30" w:rsidRDefault="00BB7478" w:rsidP="00D20B4D">
      <w:pPr>
        <w:pStyle w:val="Default"/>
        <w:jc w:val="both"/>
        <w:rPr>
          <w:rFonts w:ascii="Arial" w:hAnsi="Arial" w:cs="Arial"/>
          <w:sz w:val="19"/>
          <w:szCs w:val="19"/>
        </w:rPr>
      </w:pPr>
    </w:p>
    <w:p w:rsidR="00D20B4D" w:rsidRPr="00456A30" w:rsidRDefault="000023D4" w:rsidP="00D20B4D">
      <w:pPr>
        <w:pStyle w:val="Default"/>
        <w:jc w:val="both"/>
        <w:rPr>
          <w:rFonts w:ascii="Arial" w:hAnsi="Arial" w:cs="Arial"/>
          <w:sz w:val="19"/>
          <w:szCs w:val="19"/>
        </w:rPr>
      </w:pPr>
      <w:r w:rsidRPr="00456A30">
        <w:rPr>
          <w:rFonts w:ascii="Arial" w:hAnsi="Arial" w:cs="Arial"/>
          <w:sz w:val="19"/>
          <w:szCs w:val="19"/>
        </w:rPr>
        <w:t>La presente administración</w:t>
      </w:r>
      <w:r w:rsidR="00D20B4D" w:rsidRPr="00456A30">
        <w:rPr>
          <w:rFonts w:ascii="Arial" w:hAnsi="Arial" w:cs="Arial"/>
          <w:sz w:val="19"/>
          <w:szCs w:val="19"/>
        </w:rPr>
        <w:t xml:space="preserve"> en un esfuerzo fiscal y de austeridad </w:t>
      </w:r>
      <w:r w:rsidR="002B1D92" w:rsidRPr="00456A30">
        <w:rPr>
          <w:rFonts w:ascii="Arial" w:hAnsi="Arial" w:cs="Arial"/>
          <w:sz w:val="19"/>
          <w:szCs w:val="19"/>
        </w:rPr>
        <w:t>ha decidido</w:t>
      </w:r>
      <w:r w:rsidR="00D20B4D" w:rsidRPr="00456A30">
        <w:rPr>
          <w:rFonts w:ascii="Arial" w:hAnsi="Arial" w:cs="Arial"/>
          <w:sz w:val="19"/>
          <w:szCs w:val="19"/>
        </w:rPr>
        <w:t xml:space="preserve"> </w:t>
      </w:r>
      <w:r w:rsidRPr="00456A30">
        <w:rPr>
          <w:rFonts w:ascii="Arial" w:hAnsi="Arial" w:cs="Arial"/>
          <w:sz w:val="19"/>
          <w:szCs w:val="19"/>
        </w:rPr>
        <w:t xml:space="preserve">implementar </w:t>
      </w:r>
      <w:r w:rsidR="002B1D92" w:rsidRPr="00456A30">
        <w:rPr>
          <w:rFonts w:ascii="Arial" w:hAnsi="Arial" w:cs="Arial"/>
          <w:sz w:val="19"/>
          <w:szCs w:val="19"/>
        </w:rPr>
        <w:t xml:space="preserve">el Programa por el que se otorgará estímulo fiscal del 100 por ciento </w:t>
      </w:r>
      <w:r w:rsidRPr="00456A30">
        <w:rPr>
          <w:rFonts w:ascii="Arial" w:hAnsi="Arial" w:cs="Arial"/>
          <w:sz w:val="19"/>
          <w:szCs w:val="19"/>
        </w:rPr>
        <w:t>de los derechos a que se refiere el artículo 56 de la Ley Estatal de Derechos a favor de los contratistas que celebren contratos de obra pública y servicios relacionados con el Instituto Oaxaqueño Constructor de Infraestructura Física Educativa cuya fuente de financiamiento provenga de la potenciación del Fondo de Aportaciones Múltiples</w:t>
      </w:r>
      <w:r w:rsidR="00F25CD6" w:rsidRPr="00456A30">
        <w:rPr>
          <w:rFonts w:ascii="Arial" w:hAnsi="Arial" w:cs="Arial"/>
          <w:sz w:val="19"/>
          <w:szCs w:val="19"/>
        </w:rPr>
        <w:t xml:space="preserve">, </w:t>
      </w:r>
      <w:r w:rsidR="00D20B4D" w:rsidRPr="00456A30">
        <w:rPr>
          <w:rFonts w:ascii="Arial" w:hAnsi="Arial" w:cs="Arial"/>
          <w:sz w:val="19"/>
          <w:szCs w:val="19"/>
        </w:rPr>
        <w:t xml:space="preserve">convencidos </w:t>
      </w:r>
      <w:r w:rsidRPr="00456A30">
        <w:rPr>
          <w:rFonts w:ascii="Arial" w:hAnsi="Arial" w:cs="Arial"/>
          <w:sz w:val="19"/>
          <w:szCs w:val="19"/>
        </w:rPr>
        <w:t xml:space="preserve">de que la puesta en marcha y ejecución de Escuelas al Cien, favorece a la Educación de las y los niños de la Entidad, construyendo las </w:t>
      </w:r>
      <w:r w:rsidR="00D20B4D" w:rsidRPr="00456A30">
        <w:rPr>
          <w:rFonts w:ascii="Arial" w:hAnsi="Arial" w:cs="Arial"/>
          <w:sz w:val="19"/>
          <w:szCs w:val="19"/>
        </w:rPr>
        <w:t>bases que permitan el crecimiento y desarrollo de Oaxaca.</w:t>
      </w:r>
    </w:p>
    <w:p w:rsidR="003832B4" w:rsidRPr="00456A30" w:rsidRDefault="003832B4" w:rsidP="003832B4">
      <w:pPr>
        <w:pStyle w:val="Default"/>
        <w:jc w:val="both"/>
        <w:rPr>
          <w:rFonts w:ascii="Arial" w:hAnsi="Arial" w:cs="Arial"/>
          <w:sz w:val="19"/>
          <w:szCs w:val="19"/>
        </w:rPr>
      </w:pPr>
    </w:p>
    <w:p w:rsidR="008828A8" w:rsidRPr="00456A30" w:rsidRDefault="008828A8" w:rsidP="008828A8">
      <w:pPr>
        <w:pStyle w:val="Default"/>
        <w:jc w:val="both"/>
        <w:rPr>
          <w:rFonts w:ascii="Arial" w:hAnsi="Arial" w:cs="Arial"/>
          <w:sz w:val="19"/>
          <w:szCs w:val="19"/>
        </w:rPr>
      </w:pPr>
      <w:r w:rsidRPr="00456A30">
        <w:rPr>
          <w:rFonts w:ascii="Arial" w:hAnsi="Arial" w:cs="Arial"/>
          <w:sz w:val="19"/>
          <w:szCs w:val="19"/>
        </w:rPr>
        <w:t>Por lo antes expuesto, tengo a bien expedir el siguiente:</w:t>
      </w:r>
    </w:p>
    <w:p w:rsidR="008828A8" w:rsidRPr="00456A30" w:rsidRDefault="008828A8" w:rsidP="008828A8">
      <w:pPr>
        <w:pStyle w:val="Default"/>
        <w:jc w:val="both"/>
        <w:rPr>
          <w:rFonts w:ascii="Arial" w:hAnsi="Arial" w:cs="Arial"/>
          <w:sz w:val="19"/>
          <w:szCs w:val="19"/>
        </w:rPr>
      </w:pPr>
    </w:p>
    <w:p w:rsidR="003832B4" w:rsidRPr="00456A30" w:rsidRDefault="008828A8" w:rsidP="008828A8">
      <w:pPr>
        <w:pStyle w:val="Default"/>
        <w:jc w:val="both"/>
        <w:rPr>
          <w:rFonts w:ascii="Arial" w:hAnsi="Arial" w:cs="Arial"/>
          <w:b/>
          <w:sz w:val="19"/>
          <w:szCs w:val="19"/>
        </w:rPr>
      </w:pPr>
      <w:r w:rsidRPr="00456A30">
        <w:rPr>
          <w:rFonts w:ascii="Arial" w:hAnsi="Arial" w:cs="Arial"/>
          <w:b/>
          <w:sz w:val="19"/>
          <w:szCs w:val="19"/>
        </w:rPr>
        <w:t xml:space="preserve">ACUERDO POR EL QUE SE IMPLEMENTA </w:t>
      </w:r>
      <w:r w:rsidR="00200DA0" w:rsidRPr="00456A30">
        <w:rPr>
          <w:rFonts w:ascii="Arial" w:hAnsi="Arial" w:cs="Arial"/>
          <w:b/>
          <w:sz w:val="19"/>
          <w:szCs w:val="19"/>
        </w:rPr>
        <w:t xml:space="preserve">EL PROGRAMA </w:t>
      </w:r>
      <w:r w:rsidR="003832B4" w:rsidRPr="00456A30">
        <w:rPr>
          <w:rFonts w:ascii="Arial" w:hAnsi="Arial" w:cs="Arial"/>
          <w:b/>
          <w:sz w:val="19"/>
          <w:szCs w:val="19"/>
        </w:rPr>
        <w:t xml:space="preserve">POR EL QUE SE </w:t>
      </w:r>
      <w:r w:rsidR="00946E39" w:rsidRPr="00456A30">
        <w:rPr>
          <w:rFonts w:ascii="Arial" w:hAnsi="Arial" w:cs="Arial"/>
          <w:b/>
          <w:sz w:val="19"/>
          <w:szCs w:val="19"/>
        </w:rPr>
        <w:t>OTORGARÁ</w:t>
      </w:r>
      <w:r w:rsidR="00200DA0" w:rsidRPr="00456A30">
        <w:rPr>
          <w:rFonts w:ascii="Arial" w:hAnsi="Arial" w:cs="Arial"/>
          <w:b/>
          <w:sz w:val="19"/>
          <w:szCs w:val="19"/>
        </w:rPr>
        <w:t xml:space="preserve"> ESTIMULO FISCAL </w:t>
      </w:r>
      <w:r w:rsidR="00F84102" w:rsidRPr="00456A30">
        <w:rPr>
          <w:rFonts w:ascii="Arial" w:hAnsi="Arial" w:cs="Arial"/>
          <w:b/>
          <w:sz w:val="19"/>
          <w:szCs w:val="19"/>
        </w:rPr>
        <w:t xml:space="preserve">A LOS CONTRATISTAS QUE CELEBREN CONTRATOS DE OBRAS PÚBLICAS Y SERVICIOS RELACIONADOS </w:t>
      </w:r>
      <w:r w:rsidR="00F97DFA" w:rsidRPr="00456A30">
        <w:rPr>
          <w:rFonts w:ascii="Arial" w:hAnsi="Arial" w:cs="Arial"/>
          <w:b/>
          <w:sz w:val="19"/>
          <w:szCs w:val="19"/>
        </w:rPr>
        <w:t>CON FUENTE DE FINANCIAMIENTO DERIVADOS DE LA POTENCIACIÓN DE RECURSOS DEL FONDO DE APORTACIONES MULTIPLES</w:t>
      </w:r>
      <w:r w:rsidR="00F25CD6" w:rsidRPr="00456A30">
        <w:rPr>
          <w:rFonts w:ascii="Arial" w:hAnsi="Arial" w:cs="Arial"/>
          <w:b/>
          <w:sz w:val="19"/>
          <w:szCs w:val="19"/>
        </w:rPr>
        <w:t>.</w:t>
      </w:r>
    </w:p>
    <w:p w:rsidR="008E04D7" w:rsidRPr="00456A30" w:rsidRDefault="008E04D7" w:rsidP="008828A8">
      <w:pPr>
        <w:pStyle w:val="Default"/>
        <w:jc w:val="both"/>
        <w:rPr>
          <w:rFonts w:ascii="Arial" w:hAnsi="Arial" w:cs="Arial"/>
          <w:b/>
          <w:sz w:val="19"/>
          <w:szCs w:val="19"/>
        </w:rPr>
      </w:pPr>
    </w:p>
    <w:p w:rsidR="008828A8" w:rsidRPr="00456A30" w:rsidRDefault="008828A8" w:rsidP="008828A8">
      <w:pPr>
        <w:pStyle w:val="Default"/>
        <w:jc w:val="both"/>
        <w:rPr>
          <w:rFonts w:ascii="Arial" w:hAnsi="Arial" w:cs="Arial"/>
          <w:sz w:val="19"/>
          <w:szCs w:val="19"/>
        </w:rPr>
      </w:pPr>
      <w:r w:rsidRPr="00456A30">
        <w:rPr>
          <w:rFonts w:ascii="Arial" w:hAnsi="Arial" w:cs="Arial"/>
          <w:b/>
          <w:sz w:val="19"/>
          <w:szCs w:val="19"/>
        </w:rPr>
        <w:t xml:space="preserve">PRIMERO: </w:t>
      </w:r>
      <w:r w:rsidR="00F97DFA" w:rsidRPr="00456A30">
        <w:rPr>
          <w:rFonts w:ascii="Arial" w:hAnsi="Arial" w:cs="Arial"/>
          <w:sz w:val="19"/>
          <w:szCs w:val="19"/>
        </w:rPr>
        <w:t>Los contratistas que celebren contratos de obra pública y servicios relacionados con fuente de financiamiento derivado de la potenciación de recursos del Fondo de Aportaciones Múltiples se les otorgarán estímulos fiscales del 100 por ciento del derecho previsto en el artículo 56 de la Ley Estatal de Derechos</w:t>
      </w:r>
      <w:r w:rsidR="00F25CD6" w:rsidRPr="00456A30">
        <w:rPr>
          <w:rFonts w:ascii="Arial" w:hAnsi="Arial" w:cs="Arial"/>
          <w:sz w:val="19"/>
          <w:szCs w:val="19"/>
        </w:rPr>
        <w:t xml:space="preserve">. </w:t>
      </w:r>
    </w:p>
    <w:p w:rsidR="00F97DFA" w:rsidRPr="00456A30" w:rsidRDefault="00F97DFA" w:rsidP="008828A8">
      <w:pPr>
        <w:pStyle w:val="Default"/>
        <w:jc w:val="both"/>
        <w:rPr>
          <w:rFonts w:ascii="Arial" w:hAnsi="Arial" w:cs="Arial"/>
          <w:sz w:val="19"/>
          <w:szCs w:val="19"/>
        </w:rPr>
      </w:pPr>
    </w:p>
    <w:p w:rsidR="00F25CD6" w:rsidRPr="00456A30" w:rsidRDefault="00BB7478" w:rsidP="008828A8">
      <w:pPr>
        <w:pStyle w:val="Default"/>
        <w:jc w:val="both"/>
        <w:rPr>
          <w:rFonts w:ascii="Arial" w:hAnsi="Arial" w:cs="Arial"/>
          <w:sz w:val="19"/>
          <w:szCs w:val="19"/>
        </w:rPr>
      </w:pPr>
      <w:r w:rsidRPr="00456A30">
        <w:rPr>
          <w:rFonts w:ascii="Arial" w:hAnsi="Arial" w:cs="Arial"/>
          <w:b/>
          <w:sz w:val="19"/>
          <w:szCs w:val="19"/>
        </w:rPr>
        <w:t>SEGUNDO</w:t>
      </w:r>
      <w:r w:rsidR="00F97DFA" w:rsidRPr="00456A30">
        <w:rPr>
          <w:rFonts w:ascii="Arial" w:hAnsi="Arial" w:cs="Arial"/>
          <w:b/>
          <w:sz w:val="19"/>
          <w:szCs w:val="19"/>
        </w:rPr>
        <w:t xml:space="preserve">: </w:t>
      </w:r>
      <w:r w:rsidR="00F97DFA" w:rsidRPr="00456A30">
        <w:rPr>
          <w:rFonts w:ascii="Arial" w:hAnsi="Arial" w:cs="Arial"/>
          <w:sz w:val="19"/>
          <w:szCs w:val="19"/>
        </w:rPr>
        <w:t xml:space="preserve">El Instituto Oaxaqueño Constructor de Infraestructura Física Educativa, en las convocatorias para adjudicación de contratos de obra pública y servicios relacionados deberán señalar el presente estímulo fiscal, además de informar a la Secretaría de Finanzas dentro de los diez primeros días de concluido el trimestre el </w:t>
      </w:r>
      <w:r w:rsidRPr="00456A30">
        <w:rPr>
          <w:rFonts w:ascii="Arial" w:hAnsi="Arial" w:cs="Arial"/>
          <w:sz w:val="19"/>
          <w:szCs w:val="19"/>
        </w:rPr>
        <w:t>N</w:t>
      </w:r>
      <w:r w:rsidR="00F97DFA" w:rsidRPr="00456A30">
        <w:rPr>
          <w:rFonts w:ascii="Arial" w:hAnsi="Arial" w:cs="Arial"/>
          <w:sz w:val="19"/>
          <w:szCs w:val="19"/>
        </w:rPr>
        <w:t xml:space="preserve">ombre o </w:t>
      </w:r>
      <w:r w:rsidRPr="00456A30">
        <w:rPr>
          <w:rFonts w:ascii="Arial" w:hAnsi="Arial" w:cs="Arial"/>
          <w:sz w:val="19"/>
          <w:szCs w:val="19"/>
        </w:rPr>
        <w:t>D</w:t>
      </w:r>
      <w:r w:rsidR="00F97DFA" w:rsidRPr="00456A30">
        <w:rPr>
          <w:rFonts w:ascii="Arial" w:hAnsi="Arial" w:cs="Arial"/>
          <w:sz w:val="19"/>
          <w:szCs w:val="19"/>
        </w:rPr>
        <w:t xml:space="preserve">enominación </w:t>
      </w:r>
      <w:r w:rsidRPr="00456A30">
        <w:rPr>
          <w:rFonts w:ascii="Arial" w:hAnsi="Arial" w:cs="Arial"/>
          <w:sz w:val="19"/>
          <w:szCs w:val="19"/>
        </w:rPr>
        <w:t>S</w:t>
      </w:r>
      <w:r w:rsidR="00F97DFA" w:rsidRPr="00456A30">
        <w:rPr>
          <w:rFonts w:ascii="Arial" w:hAnsi="Arial" w:cs="Arial"/>
          <w:sz w:val="19"/>
          <w:szCs w:val="19"/>
        </w:rPr>
        <w:t>ocial</w:t>
      </w:r>
      <w:r w:rsidRPr="00456A30">
        <w:rPr>
          <w:rFonts w:ascii="Arial" w:hAnsi="Arial" w:cs="Arial"/>
          <w:sz w:val="19"/>
          <w:szCs w:val="19"/>
        </w:rPr>
        <w:t xml:space="preserve"> del contratista</w:t>
      </w:r>
      <w:r w:rsidR="00F97DFA" w:rsidRPr="00456A30">
        <w:rPr>
          <w:rFonts w:ascii="Arial" w:hAnsi="Arial" w:cs="Arial"/>
          <w:sz w:val="19"/>
          <w:szCs w:val="19"/>
        </w:rPr>
        <w:t>, R</w:t>
      </w:r>
      <w:r w:rsidRPr="00456A30">
        <w:rPr>
          <w:rFonts w:ascii="Arial" w:hAnsi="Arial" w:cs="Arial"/>
          <w:sz w:val="19"/>
          <w:szCs w:val="19"/>
        </w:rPr>
        <w:t xml:space="preserve">egistro </w:t>
      </w:r>
      <w:r w:rsidR="00F97DFA" w:rsidRPr="00456A30">
        <w:rPr>
          <w:rFonts w:ascii="Arial" w:hAnsi="Arial" w:cs="Arial"/>
          <w:sz w:val="19"/>
          <w:szCs w:val="19"/>
        </w:rPr>
        <w:t>F</w:t>
      </w:r>
      <w:r w:rsidRPr="00456A30">
        <w:rPr>
          <w:rFonts w:ascii="Arial" w:hAnsi="Arial" w:cs="Arial"/>
          <w:sz w:val="19"/>
          <w:szCs w:val="19"/>
        </w:rPr>
        <w:t xml:space="preserve">ederal de </w:t>
      </w:r>
      <w:r w:rsidR="00F97DFA" w:rsidRPr="00456A30">
        <w:rPr>
          <w:rFonts w:ascii="Arial" w:hAnsi="Arial" w:cs="Arial"/>
          <w:sz w:val="19"/>
          <w:szCs w:val="19"/>
        </w:rPr>
        <w:t>C</w:t>
      </w:r>
      <w:r w:rsidRPr="00456A30">
        <w:rPr>
          <w:rFonts w:ascii="Arial" w:hAnsi="Arial" w:cs="Arial"/>
          <w:sz w:val="19"/>
          <w:szCs w:val="19"/>
        </w:rPr>
        <w:t>ontribuyentes</w:t>
      </w:r>
      <w:r w:rsidR="00F97DFA" w:rsidRPr="00456A30">
        <w:rPr>
          <w:rFonts w:ascii="Arial" w:hAnsi="Arial" w:cs="Arial"/>
          <w:sz w:val="19"/>
          <w:szCs w:val="19"/>
        </w:rPr>
        <w:t>, domicilio fiscal</w:t>
      </w:r>
      <w:r w:rsidRPr="00456A30">
        <w:rPr>
          <w:rFonts w:ascii="Arial" w:hAnsi="Arial" w:cs="Arial"/>
          <w:sz w:val="19"/>
          <w:szCs w:val="19"/>
        </w:rPr>
        <w:t>,</w:t>
      </w:r>
      <w:r w:rsidR="00F97DFA" w:rsidRPr="00456A30">
        <w:rPr>
          <w:rFonts w:ascii="Arial" w:hAnsi="Arial" w:cs="Arial"/>
          <w:sz w:val="19"/>
          <w:szCs w:val="19"/>
        </w:rPr>
        <w:t xml:space="preserve"> fecha de la adjudicación de la obra o servicio, monto de beneficio </w:t>
      </w:r>
      <w:r w:rsidR="00F97DFA" w:rsidRPr="00456A30">
        <w:rPr>
          <w:rFonts w:ascii="Arial" w:hAnsi="Arial" w:cs="Arial"/>
          <w:sz w:val="19"/>
          <w:szCs w:val="19"/>
        </w:rPr>
        <w:lastRenderedPageBreak/>
        <w:t>otorgado</w:t>
      </w:r>
      <w:r w:rsidR="00044CCE" w:rsidRPr="00456A30">
        <w:rPr>
          <w:rFonts w:ascii="Arial" w:hAnsi="Arial" w:cs="Arial"/>
          <w:sz w:val="19"/>
          <w:szCs w:val="19"/>
        </w:rPr>
        <w:t>, identificación de garantías con su validación</w:t>
      </w:r>
      <w:r w:rsidRPr="00456A30">
        <w:rPr>
          <w:rFonts w:ascii="Arial" w:hAnsi="Arial" w:cs="Arial"/>
          <w:sz w:val="19"/>
          <w:szCs w:val="19"/>
        </w:rPr>
        <w:t xml:space="preserve"> y número de registro en el Padrón de Contratistas a cargo de la Secretaría de las Infraestructuras y el Ordenamiento Territorial Sustentable</w:t>
      </w:r>
      <w:r w:rsidR="00F97DFA" w:rsidRPr="00456A30">
        <w:rPr>
          <w:rFonts w:ascii="Arial" w:hAnsi="Arial" w:cs="Arial"/>
          <w:sz w:val="19"/>
          <w:szCs w:val="19"/>
        </w:rPr>
        <w:t>.</w:t>
      </w:r>
    </w:p>
    <w:p w:rsidR="00BB7478" w:rsidRPr="00456A30" w:rsidRDefault="00BB7478" w:rsidP="008828A8">
      <w:pPr>
        <w:pStyle w:val="Default"/>
        <w:jc w:val="both"/>
        <w:rPr>
          <w:rFonts w:ascii="Arial" w:hAnsi="Arial" w:cs="Arial"/>
          <w:sz w:val="19"/>
          <w:szCs w:val="19"/>
        </w:rPr>
      </w:pPr>
    </w:p>
    <w:p w:rsidR="00BB7478" w:rsidRPr="00456A30" w:rsidRDefault="00BB7478" w:rsidP="00BB7478">
      <w:pPr>
        <w:pStyle w:val="Sinespaciado"/>
        <w:jc w:val="both"/>
        <w:rPr>
          <w:rFonts w:ascii="Arial" w:hAnsi="Arial" w:cs="Arial"/>
          <w:sz w:val="19"/>
          <w:szCs w:val="19"/>
        </w:rPr>
      </w:pPr>
      <w:r w:rsidRPr="00456A30">
        <w:rPr>
          <w:rFonts w:ascii="Arial" w:hAnsi="Arial" w:cs="Arial"/>
          <w:b/>
          <w:sz w:val="19"/>
          <w:szCs w:val="19"/>
        </w:rPr>
        <w:t xml:space="preserve">TERCERO: </w:t>
      </w:r>
      <w:r w:rsidRPr="00456A30">
        <w:rPr>
          <w:rFonts w:ascii="Arial" w:hAnsi="Arial" w:cs="Arial"/>
          <w:sz w:val="19"/>
          <w:szCs w:val="19"/>
        </w:rPr>
        <w:t>La vigencia del presente Acuerdo contará a partir del siguiente día hábil de su publicación en el Periódico Oficial del Estado hasta el 31 de diciembre de 2017.</w:t>
      </w:r>
    </w:p>
    <w:p w:rsidR="00BB7478" w:rsidRPr="00456A30" w:rsidRDefault="00BB7478" w:rsidP="008828A8">
      <w:pPr>
        <w:pStyle w:val="Default"/>
        <w:jc w:val="both"/>
        <w:rPr>
          <w:rFonts w:ascii="Arial" w:hAnsi="Arial" w:cs="Arial"/>
          <w:sz w:val="19"/>
          <w:szCs w:val="19"/>
        </w:rPr>
      </w:pPr>
    </w:p>
    <w:p w:rsidR="001D1076" w:rsidRPr="00456A30" w:rsidRDefault="001D1076" w:rsidP="001D1076">
      <w:pPr>
        <w:pStyle w:val="Default"/>
        <w:spacing w:after="120"/>
        <w:jc w:val="center"/>
        <w:rPr>
          <w:rFonts w:ascii="Arial" w:hAnsi="Arial" w:cs="Arial"/>
          <w:b/>
          <w:sz w:val="19"/>
          <w:szCs w:val="19"/>
          <w:lang w:val="es-ES"/>
        </w:rPr>
      </w:pPr>
      <w:r w:rsidRPr="00456A30">
        <w:rPr>
          <w:rFonts w:ascii="Arial" w:hAnsi="Arial" w:cs="Arial"/>
          <w:b/>
          <w:sz w:val="19"/>
          <w:szCs w:val="19"/>
          <w:lang w:val="es-ES"/>
        </w:rPr>
        <w:t>TRANSITORIO</w:t>
      </w:r>
    </w:p>
    <w:p w:rsidR="001D1076" w:rsidRPr="00456A30" w:rsidRDefault="001D1076" w:rsidP="001D1076">
      <w:pPr>
        <w:pStyle w:val="Default"/>
        <w:spacing w:after="120"/>
        <w:jc w:val="both"/>
        <w:rPr>
          <w:rFonts w:ascii="Arial" w:hAnsi="Arial" w:cs="Arial"/>
          <w:sz w:val="19"/>
          <w:szCs w:val="19"/>
          <w:lang w:val="es-ES"/>
        </w:rPr>
      </w:pPr>
      <w:r w:rsidRPr="00456A30">
        <w:rPr>
          <w:rFonts w:ascii="Arial" w:hAnsi="Arial" w:cs="Arial"/>
          <w:b/>
          <w:sz w:val="19"/>
          <w:szCs w:val="19"/>
          <w:lang w:val="es-ES"/>
        </w:rPr>
        <w:t xml:space="preserve">ÚNICO: </w:t>
      </w:r>
      <w:r w:rsidRPr="00456A30">
        <w:rPr>
          <w:rFonts w:ascii="Arial" w:hAnsi="Arial" w:cs="Arial"/>
          <w:sz w:val="19"/>
          <w:szCs w:val="19"/>
          <w:lang w:val="es-ES"/>
        </w:rPr>
        <w:t>El presente Acuerdo entrará en vigor al día siguiente hábil de su publicación en el Periódico Oficial del Estado.</w:t>
      </w:r>
    </w:p>
    <w:p w:rsidR="001D1076" w:rsidRPr="00456A30" w:rsidRDefault="001D1076" w:rsidP="001D1076">
      <w:pPr>
        <w:pStyle w:val="Default"/>
        <w:jc w:val="center"/>
        <w:rPr>
          <w:rFonts w:ascii="Arial" w:hAnsi="Arial" w:cs="Arial"/>
          <w:b/>
          <w:sz w:val="19"/>
          <w:szCs w:val="19"/>
          <w:lang w:val="es-ES"/>
        </w:rPr>
      </w:pPr>
    </w:p>
    <w:p w:rsidR="001D1076" w:rsidRPr="00456A30" w:rsidRDefault="001D1076" w:rsidP="00F93B51">
      <w:pPr>
        <w:pStyle w:val="Default"/>
        <w:rPr>
          <w:rFonts w:ascii="Arial" w:hAnsi="Arial" w:cs="Arial"/>
          <w:b/>
          <w:sz w:val="19"/>
          <w:szCs w:val="19"/>
          <w:lang w:val="es-ES"/>
        </w:rPr>
      </w:pPr>
      <w:r w:rsidRPr="00456A30">
        <w:rPr>
          <w:rFonts w:ascii="Arial" w:hAnsi="Arial" w:cs="Arial"/>
          <w:b/>
          <w:sz w:val="19"/>
          <w:szCs w:val="19"/>
          <w:lang w:val="es-ES"/>
        </w:rPr>
        <w:t xml:space="preserve">EL </w:t>
      </w:r>
      <w:r w:rsidR="00297975" w:rsidRPr="00456A30">
        <w:rPr>
          <w:rFonts w:ascii="Arial" w:hAnsi="Arial" w:cs="Arial"/>
          <w:b/>
          <w:sz w:val="19"/>
          <w:szCs w:val="19"/>
          <w:lang w:val="es-ES"/>
        </w:rPr>
        <w:t>SUBSECRETARIO DE INGRESOS</w:t>
      </w:r>
      <w:r w:rsidR="00F93B51">
        <w:rPr>
          <w:rFonts w:ascii="Arial" w:hAnsi="Arial" w:cs="Arial"/>
          <w:b/>
          <w:sz w:val="19"/>
          <w:szCs w:val="19"/>
          <w:lang w:val="es-ES"/>
        </w:rPr>
        <w:t xml:space="preserve">.- </w:t>
      </w:r>
      <w:r w:rsidR="00297975" w:rsidRPr="00456A30">
        <w:rPr>
          <w:rFonts w:ascii="Arial" w:hAnsi="Arial" w:cs="Arial"/>
          <w:b/>
          <w:sz w:val="19"/>
          <w:szCs w:val="19"/>
          <w:lang w:val="es-ES"/>
        </w:rPr>
        <w:t>JORGE ANTONIO BENITEZ CALVA</w:t>
      </w:r>
      <w:r w:rsidR="00F93B51">
        <w:rPr>
          <w:rFonts w:ascii="Arial" w:hAnsi="Arial" w:cs="Arial"/>
          <w:b/>
          <w:sz w:val="19"/>
          <w:szCs w:val="19"/>
          <w:lang w:val="es-ES"/>
        </w:rPr>
        <w:t>.- Rúbrica</w:t>
      </w:r>
    </w:p>
    <w:p w:rsidR="00BB7478" w:rsidRPr="00456A30" w:rsidRDefault="00BB7478" w:rsidP="00B10AC9">
      <w:pPr>
        <w:pStyle w:val="Default"/>
        <w:spacing w:after="120"/>
        <w:jc w:val="center"/>
        <w:rPr>
          <w:rFonts w:ascii="Arial" w:hAnsi="Arial" w:cs="Arial"/>
          <w:sz w:val="19"/>
          <w:szCs w:val="19"/>
          <w:lang w:val="es-ES"/>
        </w:rPr>
      </w:pPr>
    </w:p>
    <w:p w:rsidR="00752574" w:rsidRPr="00456A30" w:rsidRDefault="001D1076" w:rsidP="00F93B51">
      <w:pPr>
        <w:pStyle w:val="Default"/>
        <w:spacing w:after="120"/>
        <w:rPr>
          <w:rFonts w:ascii="Arial" w:hAnsi="Arial" w:cs="Arial"/>
          <w:sz w:val="19"/>
          <w:szCs w:val="19"/>
          <w:lang w:val="es-ES"/>
        </w:rPr>
      </w:pPr>
      <w:bookmarkStart w:id="0" w:name="_GoBack"/>
      <w:bookmarkEnd w:id="0"/>
      <w:r w:rsidRPr="00456A30">
        <w:rPr>
          <w:rFonts w:ascii="Arial" w:hAnsi="Arial" w:cs="Arial"/>
          <w:sz w:val="19"/>
          <w:szCs w:val="19"/>
          <w:lang w:val="es-ES"/>
        </w:rPr>
        <w:t xml:space="preserve">Reyes Mantecón, San Bartolo Coyotepec, </w:t>
      </w:r>
      <w:r w:rsidR="00FF5971" w:rsidRPr="00456A30">
        <w:rPr>
          <w:rFonts w:ascii="Arial" w:hAnsi="Arial" w:cs="Arial"/>
          <w:sz w:val="19"/>
          <w:szCs w:val="19"/>
          <w:lang w:val="es-ES"/>
        </w:rPr>
        <w:t>2</w:t>
      </w:r>
      <w:r w:rsidR="00BB7478" w:rsidRPr="00456A30">
        <w:rPr>
          <w:rFonts w:ascii="Arial" w:hAnsi="Arial" w:cs="Arial"/>
          <w:sz w:val="19"/>
          <w:szCs w:val="19"/>
          <w:lang w:val="es-ES"/>
        </w:rPr>
        <w:t>2</w:t>
      </w:r>
      <w:r w:rsidR="00297975" w:rsidRPr="00456A30">
        <w:rPr>
          <w:rFonts w:ascii="Arial" w:hAnsi="Arial" w:cs="Arial"/>
          <w:sz w:val="19"/>
          <w:szCs w:val="19"/>
          <w:lang w:val="es-ES"/>
        </w:rPr>
        <w:t xml:space="preserve"> de </w:t>
      </w:r>
      <w:r w:rsidR="00BB7478" w:rsidRPr="00456A30">
        <w:rPr>
          <w:rFonts w:ascii="Arial" w:hAnsi="Arial" w:cs="Arial"/>
          <w:sz w:val="19"/>
          <w:szCs w:val="19"/>
          <w:lang w:val="es-ES"/>
        </w:rPr>
        <w:t>febrero</w:t>
      </w:r>
      <w:r w:rsidR="00297975" w:rsidRPr="00456A30">
        <w:rPr>
          <w:rFonts w:ascii="Arial" w:hAnsi="Arial" w:cs="Arial"/>
          <w:sz w:val="19"/>
          <w:szCs w:val="19"/>
          <w:lang w:val="es-ES"/>
        </w:rPr>
        <w:t xml:space="preserve"> </w:t>
      </w:r>
      <w:r w:rsidRPr="00456A30">
        <w:rPr>
          <w:rFonts w:ascii="Arial" w:hAnsi="Arial" w:cs="Arial"/>
          <w:sz w:val="19"/>
          <w:szCs w:val="19"/>
          <w:lang w:val="es-ES"/>
        </w:rPr>
        <w:t>de 201</w:t>
      </w:r>
      <w:r w:rsidR="00297975" w:rsidRPr="00456A30">
        <w:rPr>
          <w:rFonts w:ascii="Arial" w:hAnsi="Arial" w:cs="Arial"/>
          <w:sz w:val="19"/>
          <w:szCs w:val="19"/>
          <w:lang w:val="es-ES"/>
        </w:rPr>
        <w:t>7</w:t>
      </w:r>
      <w:r w:rsidRPr="00456A30">
        <w:rPr>
          <w:rFonts w:ascii="Arial" w:hAnsi="Arial" w:cs="Arial"/>
          <w:sz w:val="19"/>
          <w:szCs w:val="19"/>
          <w:lang w:val="es-ES"/>
        </w:rPr>
        <w:t>.</w:t>
      </w:r>
    </w:p>
    <w:sectPr w:rsidR="00752574" w:rsidRPr="00456A30" w:rsidSect="00EC4061">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E01" w:rsidRDefault="00F01E01" w:rsidP="008D729F">
      <w:pPr>
        <w:spacing w:after="0" w:line="240" w:lineRule="auto"/>
      </w:pPr>
      <w:r>
        <w:separator/>
      </w:r>
    </w:p>
  </w:endnote>
  <w:endnote w:type="continuationSeparator" w:id="0">
    <w:p w:rsidR="00F01E01" w:rsidRDefault="00F01E01" w:rsidP="008D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85179"/>
      <w:docPartObj>
        <w:docPartGallery w:val="Page Numbers (Bottom of Page)"/>
        <w:docPartUnique/>
      </w:docPartObj>
    </w:sdtPr>
    <w:sdtEndPr>
      <w:rPr>
        <w:rFonts w:ascii="Arial" w:hAnsi="Arial" w:cs="Arial"/>
        <w:sz w:val="20"/>
        <w:szCs w:val="20"/>
      </w:rPr>
    </w:sdtEndPr>
    <w:sdtContent>
      <w:p w:rsidR="001D1076" w:rsidRPr="001D1076" w:rsidRDefault="001D1076">
        <w:pPr>
          <w:pStyle w:val="Piedepgina"/>
          <w:jc w:val="center"/>
          <w:rPr>
            <w:rFonts w:ascii="Arial" w:hAnsi="Arial" w:cs="Arial"/>
            <w:sz w:val="20"/>
            <w:szCs w:val="20"/>
          </w:rPr>
        </w:pPr>
        <w:r w:rsidRPr="001D1076">
          <w:rPr>
            <w:rFonts w:ascii="Arial" w:hAnsi="Arial" w:cs="Arial"/>
            <w:sz w:val="20"/>
            <w:szCs w:val="20"/>
          </w:rPr>
          <w:fldChar w:fldCharType="begin"/>
        </w:r>
        <w:r w:rsidRPr="001D1076">
          <w:rPr>
            <w:rFonts w:ascii="Arial" w:hAnsi="Arial" w:cs="Arial"/>
            <w:sz w:val="20"/>
            <w:szCs w:val="20"/>
          </w:rPr>
          <w:instrText>PAGE   \* MERGEFORMAT</w:instrText>
        </w:r>
        <w:r w:rsidRPr="001D1076">
          <w:rPr>
            <w:rFonts w:ascii="Arial" w:hAnsi="Arial" w:cs="Arial"/>
            <w:sz w:val="20"/>
            <w:szCs w:val="20"/>
          </w:rPr>
          <w:fldChar w:fldCharType="separate"/>
        </w:r>
        <w:r w:rsidR="00F93B51" w:rsidRPr="00F93B51">
          <w:rPr>
            <w:rFonts w:ascii="Arial" w:hAnsi="Arial" w:cs="Arial"/>
            <w:noProof/>
            <w:sz w:val="20"/>
            <w:szCs w:val="20"/>
            <w:lang w:val="es-ES"/>
          </w:rPr>
          <w:t>1</w:t>
        </w:r>
        <w:r w:rsidRPr="001D1076">
          <w:rPr>
            <w:rFonts w:ascii="Arial" w:hAnsi="Arial" w:cs="Arial"/>
            <w:sz w:val="20"/>
            <w:szCs w:val="20"/>
          </w:rPr>
          <w:fldChar w:fldCharType="end"/>
        </w:r>
      </w:p>
    </w:sdtContent>
  </w:sdt>
  <w:p w:rsidR="001D1076" w:rsidRDefault="001D10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E01" w:rsidRDefault="00F01E01" w:rsidP="008D729F">
      <w:pPr>
        <w:spacing w:after="0" w:line="240" w:lineRule="auto"/>
      </w:pPr>
      <w:r>
        <w:separator/>
      </w:r>
    </w:p>
  </w:footnote>
  <w:footnote w:type="continuationSeparator" w:id="0">
    <w:p w:rsidR="00F01E01" w:rsidRDefault="00F01E01" w:rsidP="008D7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8" w:type="dxa"/>
      <w:tblCellMar>
        <w:left w:w="70" w:type="dxa"/>
        <w:right w:w="70" w:type="dxa"/>
      </w:tblCellMar>
      <w:tblLook w:val="0000" w:firstRow="0" w:lastRow="0" w:firstColumn="0" w:lastColumn="0" w:noHBand="0" w:noVBand="0"/>
    </w:tblPr>
    <w:tblGrid>
      <w:gridCol w:w="1290"/>
      <w:gridCol w:w="7908"/>
    </w:tblGrid>
    <w:tr w:rsidR="00456A30" w:rsidRPr="00AF5EA8" w:rsidTr="00456A30">
      <w:trPr>
        <w:cantSplit/>
        <w:trHeight w:val="855"/>
      </w:trPr>
      <w:tc>
        <w:tcPr>
          <w:tcW w:w="1290" w:type="dxa"/>
          <w:vMerge w:val="restart"/>
          <w:vAlign w:val="center"/>
        </w:tcPr>
        <w:p w:rsidR="00456A30" w:rsidRPr="00AF5EA8" w:rsidRDefault="00456A30" w:rsidP="00B04856">
          <w:pPr>
            <w:tabs>
              <w:tab w:val="center" w:pos="4252"/>
              <w:tab w:val="right" w:pos="8504"/>
            </w:tabs>
            <w:rPr>
              <w:rFonts w:ascii="CG Omega" w:hAnsi="CG Omega"/>
              <w:sz w:val="16"/>
            </w:rPr>
          </w:pPr>
          <w:r>
            <w:rPr>
              <w:rFonts w:ascii="Times New Roman" w:hAnsi="Times New Roman"/>
              <w:noProof/>
              <w:sz w:val="20"/>
            </w:rPr>
            <w:drawing>
              <wp:anchor distT="0" distB="0" distL="114300" distR="114300" simplePos="0" relativeHeight="251659264" behindDoc="1" locked="0" layoutInCell="1" allowOverlap="1" wp14:anchorId="2BBC7C54" wp14:editId="78FA6892">
                <wp:simplePos x="0" y="0"/>
                <wp:positionH relativeFrom="column">
                  <wp:posOffset>-43180</wp:posOffset>
                </wp:positionH>
                <wp:positionV relativeFrom="paragraph">
                  <wp:posOffset>-109220</wp:posOffset>
                </wp:positionV>
                <wp:extent cx="742315" cy="784225"/>
                <wp:effectExtent l="0" t="0" r="635" b="0"/>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784225"/>
                        </a:xfrm>
                        <a:prstGeom prst="rect">
                          <a:avLst/>
                        </a:prstGeom>
                        <a:noFill/>
                      </pic:spPr>
                    </pic:pic>
                  </a:graphicData>
                </a:graphic>
                <wp14:sizeRelH relativeFrom="page">
                  <wp14:pctWidth>0</wp14:pctWidth>
                </wp14:sizeRelH>
                <wp14:sizeRelV relativeFrom="page">
                  <wp14:pctHeight>0</wp14:pctHeight>
                </wp14:sizeRelV>
              </wp:anchor>
            </w:drawing>
          </w:r>
        </w:p>
      </w:tc>
      <w:tc>
        <w:tcPr>
          <w:tcW w:w="7908" w:type="dxa"/>
          <w:tcBorders>
            <w:bottom w:val="double" w:sz="4" w:space="0" w:color="auto"/>
          </w:tcBorders>
          <w:vAlign w:val="bottom"/>
        </w:tcPr>
        <w:p w:rsidR="00456A30" w:rsidRPr="00456A30" w:rsidRDefault="00456A30" w:rsidP="00456A30">
          <w:pPr>
            <w:spacing w:after="0" w:line="240" w:lineRule="auto"/>
            <w:jc w:val="both"/>
            <w:rPr>
              <w:rFonts w:ascii="Arial" w:eastAsia="Calibri" w:hAnsi="Arial" w:cs="Arial"/>
              <w:b/>
              <w:sz w:val="16"/>
              <w:szCs w:val="16"/>
              <w:lang w:eastAsia="en-US"/>
            </w:rPr>
          </w:pPr>
          <w:r w:rsidRPr="00456A30">
            <w:rPr>
              <w:rFonts w:ascii="Arial" w:eastAsia="Calibri" w:hAnsi="Arial" w:cs="Arial"/>
              <w:b/>
              <w:sz w:val="16"/>
              <w:szCs w:val="16"/>
              <w:lang w:eastAsia="en-US"/>
            </w:rPr>
            <w:t>ACUERDO POR EL QUE SE IMPLEMENTA EL PROGRAMA POR EL QUE SE OTORGARÁ ESTIMULO FISCAL A LOS CONTRATISTAS QUE CELEBREN CONTRATOS DE OBRAS PÚBLICAS Y SERVICIOS RELACIONADOS CON FUENTE DE FINANCIAMIENTO DERIVADOS DE LA POTENCIACIÓN DE RECURSOS DEL FONDO DE APORTACIONES MULTIPLES.</w:t>
          </w:r>
        </w:p>
      </w:tc>
    </w:tr>
    <w:tr w:rsidR="00456A30" w:rsidRPr="00AF5EA8" w:rsidTr="00B04856">
      <w:trPr>
        <w:cantSplit/>
        <w:trHeight w:val="61"/>
      </w:trPr>
      <w:tc>
        <w:tcPr>
          <w:tcW w:w="1290" w:type="dxa"/>
          <w:vMerge/>
        </w:tcPr>
        <w:p w:rsidR="00456A30" w:rsidRPr="00AF5EA8" w:rsidRDefault="00456A30" w:rsidP="00B04856">
          <w:pPr>
            <w:tabs>
              <w:tab w:val="center" w:pos="4252"/>
              <w:tab w:val="right" w:pos="8504"/>
            </w:tabs>
            <w:rPr>
              <w:rFonts w:ascii="CG Omega" w:hAnsi="CG Omega"/>
              <w:sz w:val="16"/>
            </w:rPr>
          </w:pPr>
        </w:p>
      </w:tc>
      <w:tc>
        <w:tcPr>
          <w:tcW w:w="7908" w:type="dxa"/>
          <w:tcBorders>
            <w:top w:val="double" w:sz="4" w:space="0" w:color="auto"/>
          </w:tcBorders>
        </w:tcPr>
        <w:p w:rsidR="00456A30" w:rsidRPr="00370A92" w:rsidRDefault="00456A30" w:rsidP="00B04856">
          <w:pPr>
            <w:tabs>
              <w:tab w:val="center" w:pos="4252"/>
              <w:tab w:val="right" w:pos="8504"/>
            </w:tabs>
            <w:ind w:left="-68"/>
            <w:jc w:val="right"/>
            <w:rPr>
              <w:rFonts w:ascii="Arial Narrow" w:hAnsi="Arial Narrow" w:cs="Arial"/>
              <w:sz w:val="16"/>
              <w:szCs w:val="16"/>
            </w:rPr>
          </w:pPr>
          <w:r w:rsidRPr="00370A92">
            <w:rPr>
              <w:rFonts w:ascii="Arial" w:hAnsi="Arial" w:cs="Arial"/>
              <w:i/>
              <w:iCs/>
              <w:color w:val="181818"/>
              <w:sz w:val="16"/>
              <w:szCs w:val="16"/>
            </w:rPr>
            <w:t xml:space="preserve">Sin Reformas  </w:t>
          </w:r>
        </w:p>
      </w:tc>
    </w:tr>
  </w:tbl>
  <w:p w:rsidR="001D1076" w:rsidRDefault="001D10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16BB9"/>
    <w:multiLevelType w:val="hybridMultilevel"/>
    <w:tmpl w:val="21FAFD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94879E5"/>
    <w:multiLevelType w:val="hybridMultilevel"/>
    <w:tmpl w:val="2A2EA312"/>
    <w:lvl w:ilvl="0" w:tplc="8CF2B80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A8"/>
    <w:rsid w:val="0000107A"/>
    <w:rsid w:val="000021E4"/>
    <w:rsid w:val="000023D4"/>
    <w:rsid w:val="00027E72"/>
    <w:rsid w:val="00044CCE"/>
    <w:rsid w:val="0004728C"/>
    <w:rsid w:val="00072978"/>
    <w:rsid w:val="000949C9"/>
    <w:rsid w:val="000B5BEC"/>
    <w:rsid w:val="00113924"/>
    <w:rsid w:val="00116706"/>
    <w:rsid w:val="00120BAE"/>
    <w:rsid w:val="001D1076"/>
    <w:rsid w:val="00200DA0"/>
    <w:rsid w:val="0025753E"/>
    <w:rsid w:val="00297975"/>
    <w:rsid w:val="002B1D92"/>
    <w:rsid w:val="002B4DDF"/>
    <w:rsid w:val="002C6B06"/>
    <w:rsid w:val="00376413"/>
    <w:rsid w:val="003832B4"/>
    <w:rsid w:val="00396BDF"/>
    <w:rsid w:val="003B6C69"/>
    <w:rsid w:val="003F7189"/>
    <w:rsid w:val="004032B7"/>
    <w:rsid w:val="00456A30"/>
    <w:rsid w:val="00466FC4"/>
    <w:rsid w:val="004C5141"/>
    <w:rsid w:val="004D0472"/>
    <w:rsid w:val="004D5398"/>
    <w:rsid w:val="00524F28"/>
    <w:rsid w:val="00531367"/>
    <w:rsid w:val="00550C1A"/>
    <w:rsid w:val="005814B6"/>
    <w:rsid w:val="005E2E03"/>
    <w:rsid w:val="0062171B"/>
    <w:rsid w:val="00623F6F"/>
    <w:rsid w:val="0064339A"/>
    <w:rsid w:val="00645E5E"/>
    <w:rsid w:val="006635DA"/>
    <w:rsid w:val="00730B68"/>
    <w:rsid w:val="00732CCF"/>
    <w:rsid w:val="007804B3"/>
    <w:rsid w:val="0079659F"/>
    <w:rsid w:val="00797671"/>
    <w:rsid w:val="007A1265"/>
    <w:rsid w:val="007B6664"/>
    <w:rsid w:val="007D3819"/>
    <w:rsid w:val="00862779"/>
    <w:rsid w:val="008828A8"/>
    <w:rsid w:val="008C721E"/>
    <w:rsid w:val="008D729F"/>
    <w:rsid w:val="008E04D7"/>
    <w:rsid w:val="008E6C8A"/>
    <w:rsid w:val="009221B6"/>
    <w:rsid w:val="00946E39"/>
    <w:rsid w:val="00984229"/>
    <w:rsid w:val="00A01FC6"/>
    <w:rsid w:val="00A03577"/>
    <w:rsid w:val="00A3267C"/>
    <w:rsid w:val="00A37E8B"/>
    <w:rsid w:val="00A61CE3"/>
    <w:rsid w:val="00A70E40"/>
    <w:rsid w:val="00A84E49"/>
    <w:rsid w:val="00AB47B0"/>
    <w:rsid w:val="00B10AC9"/>
    <w:rsid w:val="00B30FBE"/>
    <w:rsid w:val="00B72610"/>
    <w:rsid w:val="00BB7478"/>
    <w:rsid w:val="00BE7F22"/>
    <w:rsid w:val="00BF3E7A"/>
    <w:rsid w:val="00C01497"/>
    <w:rsid w:val="00C75FEE"/>
    <w:rsid w:val="00CA7BC3"/>
    <w:rsid w:val="00CC23D3"/>
    <w:rsid w:val="00CF062A"/>
    <w:rsid w:val="00CF5648"/>
    <w:rsid w:val="00CF7313"/>
    <w:rsid w:val="00D170EC"/>
    <w:rsid w:val="00D20B4D"/>
    <w:rsid w:val="00DA00F0"/>
    <w:rsid w:val="00DA5EEB"/>
    <w:rsid w:val="00DB4939"/>
    <w:rsid w:val="00DC0A06"/>
    <w:rsid w:val="00E36DDA"/>
    <w:rsid w:val="00E44A11"/>
    <w:rsid w:val="00E94AEF"/>
    <w:rsid w:val="00EC4061"/>
    <w:rsid w:val="00EC44B2"/>
    <w:rsid w:val="00ED75FD"/>
    <w:rsid w:val="00F01E01"/>
    <w:rsid w:val="00F25CD6"/>
    <w:rsid w:val="00F464DF"/>
    <w:rsid w:val="00F6396C"/>
    <w:rsid w:val="00F80D33"/>
    <w:rsid w:val="00F84102"/>
    <w:rsid w:val="00F93B51"/>
    <w:rsid w:val="00F97DFA"/>
    <w:rsid w:val="00FF59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828A8"/>
    <w:pPr>
      <w:spacing w:after="0" w:line="240" w:lineRule="auto"/>
    </w:pPr>
    <w:rPr>
      <w:rFonts w:ascii="Calibri" w:eastAsia="Calibri" w:hAnsi="Calibri" w:cs="Times New Roman"/>
    </w:rPr>
  </w:style>
  <w:style w:type="paragraph" w:customStyle="1" w:styleId="Default">
    <w:name w:val="Default"/>
    <w:rsid w:val="008828A8"/>
    <w:pPr>
      <w:autoSpaceDE w:val="0"/>
      <w:autoSpaceDN w:val="0"/>
      <w:adjustRightInd w:val="0"/>
      <w:spacing w:after="0" w:line="240" w:lineRule="auto"/>
    </w:pPr>
    <w:rPr>
      <w:rFonts w:ascii="Tahoma" w:eastAsia="Calibri" w:hAnsi="Tahoma" w:cs="Tahoma"/>
      <w:color w:val="000000"/>
      <w:sz w:val="24"/>
      <w:szCs w:val="24"/>
    </w:rPr>
  </w:style>
  <w:style w:type="paragraph" w:customStyle="1" w:styleId="texto">
    <w:name w:val="texto"/>
    <w:basedOn w:val="Normal"/>
    <w:rsid w:val="008828A8"/>
    <w:pPr>
      <w:spacing w:after="101" w:line="216" w:lineRule="atLeast"/>
    </w:pPr>
    <w:rPr>
      <w:rFonts w:ascii="Univers" w:eastAsia="Times New Roman" w:hAnsi="Univers" w:cs="Times New Roman"/>
      <w:sz w:val="18"/>
      <w:szCs w:val="18"/>
      <w:lang w:val="es-ES_tradnl" w:eastAsia="es-ES"/>
    </w:rPr>
  </w:style>
  <w:style w:type="paragraph" w:styleId="Encabezado">
    <w:name w:val="header"/>
    <w:basedOn w:val="Normal"/>
    <w:link w:val="EncabezadoCar"/>
    <w:uiPriority w:val="99"/>
    <w:unhideWhenUsed/>
    <w:rsid w:val="008D72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729F"/>
  </w:style>
  <w:style w:type="paragraph" w:styleId="Piedepgina">
    <w:name w:val="footer"/>
    <w:basedOn w:val="Normal"/>
    <w:link w:val="PiedepginaCar"/>
    <w:uiPriority w:val="99"/>
    <w:unhideWhenUsed/>
    <w:rsid w:val="008D72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729F"/>
  </w:style>
  <w:style w:type="paragraph" w:styleId="Prrafodelista">
    <w:name w:val="List Paragraph"/>
    <w:basedOn w:val="Normal"/>
    <w:uiPriority w:val="34"/>
    <w:qFormat/>
    <w:rsid w:val="0079659F"/>
    <w:pPr>
      <w:ind w:left="720"/>
      <w:contextualSpacing/>
    </w:pPr>
  </w:style>
  <w:style w:type="paragraph" w:customStyle="1" w:styleId="Texto0">
    <w:name w:val="Texto"/>
    <w:basedOn w:val="Normal"/>
    <w:link w:val="TextoCar"/>
    <w:rsid w:val="00A84E49"/>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A84E49"/>
    <w:pPr>
      <w:spacing w:after="0" w:line="240" w:lineRule="auto"/>
      <w:jc w:val="center"/>
    </w:pPr>
    <w:rPr>
      <w:rFonts w:ascii="Times New Roman" w:eastAsia="Times New Roman" w:hAnsi="Times New Roman" w:cs="Arial"/>
      <w:b/>
      <w:sz w:val="28"/>
      <w:szCs w:val="28"/>
      <w:lang w:val="es-ES_tradnl"/>
    </w:rPr>
  </w:style>
  <w:style w:type="character" w:customStyle="1" w:styleId="TextoCar">
    <w:name w:val="Texto Car"/>
    <w:link w:val="Texto0"/>
    <w:locked/>
    <w:rsid w:val="00A84E49"/>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D20B4D"/>
    <w:pPr>
      <w:spacing w:after="0" w:line="240" w:lineRule="auto"/>
    </w:pPr>
    <w:rPr>
      <w:sz w:val="20"/>
      <w:szCs w:val="20"/>
      <w:lang w:val="es-ES_tradnl" w:eastAsia="es-ES"/>
    </w:rPr>
  </w:style>
  <w:style w:type="character" w:customStyle="1" w:styleId="TextonotapieCar">
    <w:name w:val="Texto nota pie Car"/>
    <w:basedOn w:val="Fuentedeprrafopredeter"/>
    <w:link w:val="Textonotapie"/>
    <w:uiPriority w:val="99"/>
    <w:semiHidden/>
    <w:rsid w:val="00D20B4D"/>
    <w:rPr>
      <w:sz w:val="20"/>
      <w:szCs w:val="20"/>
      <w:lang w:val="es-ES_tradnl" w:eastAsia="es-ES"/>
    </w:rPr>
  </w:style>
  <w:style w:type="character" w:styleId="Refdenotaalpie">
    <w:name w:val="footnote reference"/>
    <w:basedOn w:val="Fuentedeprrafopredeter"/>
    <w:uiPriority w:val="99"/>
    <w:semiHidden/>
    <w:unhideWhenUsed/>
    <w:rsid w:val="00D20B4D"/>
    <w:rPr>
      <w:vertAlign w:val="superscript"/>
    </w:rPr>
  </w:style>
  <w:style w:type="character" w:styleId="Hipervnculo">
    <w:name w:val="Hyperlink"/>
    <w:basedOn w:val="Fuentedeprrafopredeter"/>
    <w:uiPriority w:val="99"/>
    <w:unhideWhenUsed/>
    <w:rsid w:val="00F25C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828A8"/>
    <w:pPr>
      <w:spacing w:after="0" w:line="240" w:lineRule="auto"/>
    </w:pPr>
    <w:rPr>
      <w:rFonts w:ascii="Calibri" w:eastAsia="Calibri" w:hAnsi="Calibri" w:cs="Times New Roman"/>
    </w:rPr>
  </w:style>
  <w:style w:type="paragraph" w:customStyle="1" w:styleId="Default">
    <w:name w:val="Default"/>
    <w:rsid w:val="008828A8"/>
    <w:pPr>
      <w:autoSpaceDE w:val="0"/>
      <w:autoSpaceDN w:val="0"/>
      <w:adjustRightInd w:val="0"/>
      <w:spacing w:after="0" w:line="240" w:lineRule="auto"/>
    </w:pPr>
    <w:rPr>
      <w:rFonts w:ascii="Tahoma" w:eastAsia="Calibri" w:hAnsi="Tahoma" w:cs="Tahoma"/>
      <w:color w:val="000000"/>
      <w:sz w:val="24"/>
      <w:szCs w:val="24"/>
    </w:rPr>
  </w:style>
  <w:style w:type="paragraph" w:customStyle="1" w:styleId="texto">
    <w:name w:val="texto"/>
    <w:basedOn w:val="Normal"/>
    <w:rsid w:val="008828A8"/>
    <w:pPr>
      <w:spacing w:after="101" w:line="216" w:lineRule="atLeast"/>
    </w:pPr>
    <w:rPr>
      <w:rFonts w:ascii="Univers" w:eastAsia="Times New Roman" w:hAnsi="Univers" w:cs="Times New Roman"/>
      <w:sz w:val="18"/>
      <w:szCs w:val="18"/>
      <w:lang w:val="es-ES_tradnl" w:eastAsia="es-ES"/>
    </w:rPr>
  </w:style>
  <w:style w:type="paragraph" w:styleId="Encabezado">
    <w:name w:val="header"/>
    <w:basedOn w:val="Normal"/>
    <w:link w:val="EncabezadoCar"/>
    <w:uiPriority w:val="99"/>
    <w:unhideWhenUsed/>
    <w:rsid w:val="008D72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729F"/>
  </w:style>
  <w:style w:type="paragraph" w:styleId="Piedepgina">
    <w:name w:val="footer"/>
    <w:basedOn w:val="Normal"/>
    <w:link w:val="PiedepginaCar"/>
    <w:uiPriority w:val="99"/>
    <w:unhideWhenUsed/>
    <w:rsid w:val="008D72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729F"/>
  </w:style>
  <w:style w:type="paragraph" w:styleId="Prrafodelista">
    <w:name w:val="List Paragraph"/>
    <w:basedOn w:val="Normal"/>
    <w:uiPriority w:val="34"/>
    <w:qFormat/>
    <w:rsid w:val="0079659F"/>
    <w:pPr>
      <w:ind w:left="720"/>
      <w:contextualSpacing/>
    </w:pPr>
  </w:style>
  <w:style w:type="paragraph" w:customStyle="1" w:styleId="Texto0">
    <w:name w:val="Texto"/>
    <w:basedOn w:val="Normal"/>
    <w:link w:val="TextoCar"/>
    <w:rsid w:val="00A84E49"/>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A84E49"/>
    <w:pPr>
      <w:spacing w:after="0" w:line="240" w:lineRule="auto"/>
      <w:jc w:val="center"/>
    </w:pPr>
    <w:rPr>
      <w:rFonts w:ascii="Times New Roman" w:eastAsia="Times New Roman" w:hAnsi="Times New Roman" w:cs="Arial"/>
      <w:b/>
      <w:sz w:val="28"/>
      <w:szCs w:val="28"/>
      <w:lang w:val="es-ES_tradnl"/>
    </w:rPr>
  </w:style>
  <w:style w:type="character" w:customStyle="1" w:styleId="TextoCar">
    <w:name w:val="Texto Car"/>
    <w:link w:val="Texto0"/>
    <w:locked/>
    <w:rsid w:val="00A84E49"/>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D20B4D"/>
    <w:pPr>
      <w:spacing w:after="0" w:line="240" w:lineRule="auto"/>
    </w:pPr>
    <w:rPr>
      <w:sz w:val="20"/>
      <w:szCs w:val="20"/>
      <w:lang w:val="es-ES_tradnl" w:eastAsia="es-ES"/>
    </w:rPr>
  </w:style>
  <w:style w:type="character" w:customStyle="1" w:styleId="TextonotapieCar">
    <w:name w:val="Texto nota pie Car"/>
    <w:basedOn w:val="Fuentedeprrafopredeter"/>
    <w:link w:val="Textonotapie"/>
    <w:uiPriority w:val="99"/>
    <w:semiHidden/>
    <w:rsid w:val="00D20B4D"/>
    <w:rPr>
      <w:sz w:val="20"/>
      <w:szCs w:val="20"/>
      <w:lang w:val="es-ES_tradnl" w:eastAsia="es-ES"/>
    </w:rPr>
  </w:style>
  <w:style w:type="character" w:styleId="Refdenotaalpie">
    <w:name w:val="footnote reference"/>
    <w:basedOn w:val="Fuentedeprrafopredeter"/>
    <w:uiPriority w:val="99"/>
    <w:semiHidden/>
    <w:unhideWhenUsed/>
    <w:rsid w:val="00D20B4D"/>
    <w:rPr>
      <w:vertAlign w:val="superscript"/>
    </w:rPr>
  </w:style>
  <w:style w:type="character" w:styleId="Hipervnculo">
    <w:name w:val="Hyperlink"/>
    <w:basedOn w:val="Fuentedeprrafopredeter"/>
    <w:uiPriority w:val="99"/>
    <w:unhideWhenUsed/>
    <w:rsid w:val="00F25C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4EA5-AD5F-4B7C-BCDF-BC24C1F5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657</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Aragón</dc:creator>
  <cp:lastModifiedBy>lanix1924</cp:lastModifiedBy>
  <cp:revision>10</cp:revision>
  <cp:lastPrinted>2017-03-02T20:45:00Z</cp:lastPrinted>
  <dcterms:created xsi:type="dcterms:W3CDTF">2017-02-22T22:33:00Z</dcterms:created>
  <dcterms:modified xsi:type="dcterms:W3CDTF">2017-03-09T18:34:00Z</dcterms:modified>
</cp:coreProperties>
</file>